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bidi w:val="0"/>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重庆华南城配套道路路网工程竣工检测项目</w:t>
      </w:r>
    </w:p>
    <w:p>
      <w:pPr>
        <w:pStyle w:val="2"/>
        <w:pageBreakBefore w:val="0"/>
        <w:kinsoku/>
        <w:wordWrap/>
        <w:overflowPunct/>
        <w:topLinePunct w:val="0"/>
        <w:bidi w:val="0"/>
        <w:spacing w:line="560" w:lineRule="exact"/>
        <w:jc w:val="center"/>
        <w:textAlignment w:val="auto"/>
        <w:rPr>
          <w:rFonts w:ascii="方正仿宋_GBK" w:hAnsi="方正仿宋_GBK" w:eastAsia="方正仿宋_GBK" w:cs="方正仿宋_GBK"/>
          <w:b/>
          <w:w w:val="98"/>
          <w:kern w:val="0"/>
          <w:sz w:val="11"/>
          <w:szCs w:val="11"/>
        </w:rPr>
      </w:pPr>
      <w:r>
        <w:rPr>
          <w:rFonts w:hint="eastAsia" w:ascii="方正小标宋_GBK" w:hAnsi="方正小标宋_GBK" w:eastAsia="方正小标宋_GBK" w:cs="方正小标宋_GBK"/>
          <w:w w:val="98"/>
          <w:kern w:val="0"/>
          <w:sz w:val="44"/>
          <w:szCs w:val="44"/>
        </w:rPr>
        <w:t>比选</w:t>
      </w:r>
      <w:r>
        <w:rPr>
          <w:rFonts w:hint="eastAsia" w:ascii="方正小标宋_GBK" w:hAnsi="方正小标宋_GBK" w:eastAsia="方正小标宋_GBK" w:cs="方正小标宋_GBK"/>
          <w:w w:val="98"/>
          <w:kern w:val="0"/>
          <w:sz w:val="44"/>
          <w:szCs w:val="44"/>
          <w:lang w:eastAsia="zh-CN"/>
        </w:rPr>
        <w:t>方案</w:t>
      </w:r>
    </w:p>
    <w:p>
      <w:pPr>
        <w:pageBreakBefore w:val="0"/>
        <w:kinsoku/>
        <w:wordWrap/>
        <w:overflowPunct/>
        <w:topLinePunct w:val="0"/>
        <w:bidi w:val="0"/>
        <w:spacing w:line="560" w:lineRule="exact"/>
        <w:textAlignment w:val="auto"/>
        <w:rPr>
          <w:rFonts w:ascii="黑体" w:hAnsi="黑体" w:eastAsia="黑体" w:cs="黑体"/>
          <w:b/>
          <w:sz w:val="32"/>
          <w:szCs w:val="32"/>
        </w:rPr>
      </w:pPr>
      <w:r>
        <w:rPr>
          <w:rFonts w:hint="eastAsia" w:ascii="黑体" w:hAnsi="黑体" w:eastAsia="黑体" w:cs="黑体"/>
          <w:b/>
          <w:sz w:val="32"/>
          <w:szCs w:val="32"/>
        </w:rPr>
        <w:t>一、工程概况</w:t>
      </w:r>
    </w:p>
    <w:p>
      <w:pPr>
        <w:pageBreakBefore w:val="0"/>
        <w:kinsoku/>
        <w:wordWrap/>
        <w:overflowPunct/>
        <w:topLinePunct w:val="0"/>
        <w:bidi w:val="0"/>
        <w:spacing w:line="560" w:lineRule="exact"/>
        <w:ind w:firstLine="560"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（一）项目业主：重庆公路物流基地建设有限公司</w:t>
      </w:r>
    </w:p>
    <w:p>
      <w:pPr>
        <w:pageBreakBefore w:val="0"/>
        <w:kinsoku/>
        <w:wordWrap/>
        <w:overflowPunct/>
        <w:topLinePunct w:val="0"/>
        <w:bidi w:val="0"/>
        <w:spacing w:line="560"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（二）项目名称：重庆公路物流基地</w:t>
      </w:r>
      <w:r>
        <w:rPr>
          <w:rFonts w:hint="eastAsia" w:ascii="方正仿宋_GBK" w:hAnsi="方正仿宋_GBK" w:eastAsia="方正仿宋_GBK" w:cs="方正仿宋_GBK"/>
          <w:sz w:val="28"/>
          <w:szCs w:val="28"/>
          <w:lang w:eastAsia="zh-CN"/>
        </w:rPr>
        <w:t>华南城配套道路竣工检测</w:t>
      </w:r>
    </w:p>
    <w:p>
      <w:pPr>
        <w:pageBreakBefore w:val="0"/>
        <w:kinsoku/>
        <w:wordWrap/>
        <w:overflowPunct/>
        <w:topLinePunct w:val="0"/>
        <w:bidi w:val="0"/>
        <w:spacing w:line="56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w:t>
      </w:r>
      <w:r>
        <w:rPr>
          <w:rFonts w:hint="eastAsia" w:ascii="方正仿宋_GBK" w:hAnsi="方正仿宋_GBK" w:eastAsia="方正仿宋_GBK" w:cs="方正仿宋_GBK"/>
          <w:sz w:val="28"/>
          <w:szCs w:val="28"/>
          <w:lang w:eastAsia="zh-CN"/>
        </w:rPr>
        <w:t>竣工检测招标范围</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涉及华南城配套道路工程</w:t>
      </w:r>
      <w:r>
        <w:rPr>
          <w:rFonts w:hint="eastAsia" w:ascii="方正仿宋_GBK" w:hAnsi="方正仿宋_GBK" w:eastAsia="方正仿宋_GBK" w:cs="方正仿宋_GBK"/>
          <w:sz w:val="28"/>
          <w:szCs w:val="28"/>
        </w:rPr>
        <w:t>6条道路及附属结构（桥梁、涵洞等）的竣工检测。分别为华兴路、佛南路、观音山北路、观音山中路、华东大道、观音山西路，</w:t>
      </w:r>
      <w:r>
        <w:rPr>
          <w:rFonts w:hint="eastAsia" w:ascii="方正仿宋_GBK" w:hAnsi="方正仿宋_GBK" w:eastAsia="方正仿宋_GBK" w:cs="方正仿宋_GBK"/>
          <w:sz w:val="28"/>
          <w:szCs w:val="28"/>
          <w:lang w:eastAsia="zh-CN"/>
        </w:rPr>
        <w:t>道路</w:t>
      </w:r>
      <w:r>
        <w:rPr>
          <w:rFonts w:hint="eastAsia" w:ascii="方正仿宋_GBK" w:hAnsi="方正仿宋_GBK" w:eastAsia="方正仿宋_GBK" w:cs="方正仿宋_GBK"/>
          <w:sz w:val="28"/>
          <w:szCs w:val="28"/>
        </w:rPr>
        <w:t>总长</w:t>
      </w:r>
      <w:r>
        <w:rPr>
          <w:rFonts w:hint="eastAsia" w:ascii="方正仿宋_GBK" w:hAnsi="方正仿宋_GBK" w:eastAsia="方正仿宋_GBK" w:cs="方正仿宋_GBK"/>
          <w:sz w:val="28"/>
          <w:szCs w:val="28"/>
          <w:lang w:eastAsia="zh-CN"/>
        </w:rPr>
        <w:t>约</w:t>
      </w:r>
      <w:r>
        <w:rPr>
          <w:rFonts w:hint="eastAsia" w:ascii="方正仿宋_GBK" w:hAnsi="方正仿宋_GBK" w:eastAsia="方正仿宋_GBK" w:cs="方正仿宋_GBK"/>
          <w:sz w:val="28"/>
          <w:szCs w:val="28"/>
          <w:lang w:val="en-US" w:eastAsia="zh-CN"/>
        </w:rPr>
        <w:t>6874.723</w:t>
      </w:r>
      <w:r>
        <w:rPr>
          <w:rFonts w:hint="eastAsia" w:ascii="方正仿宋_GBK" w:hAnsi="方正仿宋_GBK" w:eastAsia="方正仿宋_GBK" w:cs="方正仿宋_GBK"/>
          <w:sz w:val="28"/>
          <w:szCs w:val="28"/>
        </w:rPr>
        <w:t>m。其中：</w:t>
      </w:r>
    </w:p>
    <w:p>
      <w:pPr>
        <w:pageBreakBefore w:val="0"/>
        <w:kinsoku/>
        <w:wordWrap/>
        <w:overflowPunct/>
        <w:topLinePunct w:val="0"/>
        <w:bidi w:val="0"/>
        <w:spacing w:line="56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华兴路，为城市次干路，双向两车道，标准路幅为：4m人行道+8m车行道+4m人行道=16m，设计时速40km/h，道路长</w:t>
      </w:r>
      <w:r>
        <w:rPr>
          <w:rFonts w:hint="eastAsia" w:ascii="方正仿宋_GBK" w:hAnsi="方正仿宋_GBK" w:eastAsia="方正仿宋_GBK" w:cs="方正仿宋_GBK"/>
          <w:sz w:val="28"/>
          <w:szCs w:val="28"/>
          <w:lang w:eastAsia="zh-CN"/>
        </w:rPr>
        <w:t>约</w:t>
      </w:r>
      <w:r>
        <w:rPr>
          <w:rFonts w:hint="eastAsia" w:ascii="方正仿宋_GBK" w:hAnsi="方正仿宋_GBK" w:eastAsia="方正仿宋_GBK" w:cs="方正仿宋_GBK"/>
          <w:sz w:val="28"/>
          <w:szCs w:val="28"/>
        </w:rPr>
        <w:t>650.934m。</w:t>
      </w:r>
    </w:p>
    <w:p>
      <w:pPr>
        <w:pageBreakBefore w:val="0"/>
        <w:kinsoku/>
        <w:wordWrap/>
        <w:overflowPunct/>
        <w:topLinePunct w:val="0"/>
        <w:bidi w:val="0"/>
        <w:spacing w:line="56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佛南路，为城市主干路，双向六车道，标准路幅为：7m人行道+26m车行道+7m人行道=40m，设计时速50km/h，道路长</w:t>
      </w:r>
      <w:r>
        <w:rPr>
          <w:rFonts w:hint="eastAsia" w:ascii="方正仿宋_GBK" w:hAnsi="方正仿宋_GBK" w:eastAsia="方正仿宋_GBK" w:cs="方正仿宋_GBK"/>
          <w:sz w:val="28"/>
          <w:szCs w:val="28"/>
          <w:lang w:eastAsia="zh-CN"/>
        </w:rPr>
        <w:t>约</w:t>
      </w:r>
      <w:r>
        <w:rPr>
          <w:rFonts w:hint="eastAsia" w:ascii="方正仿宋_GBK" w:hAnsi="方正仿宋_GBK" w:eastAsia="方正仿宋_GBK" w:cs="方正仿宋_GBK"/>
          <w:sz w:val="28"/>
          <w:szCs w:val="28"/>
        </w:rPr>
        <w:t>1044.739m。</w:t>
      </w:r>
    </w:p>
    <w:p>
      <w:pPr>
        <w:pageBreakBefore w:val="0"/>
        <w:kinsoku/>
        <w:wordWrap/>
        <w:overflowPunct/>
        <w:topLinePunct w:val="0"/>
        <w:bidi w:val="0"/>
        <w:spacing w:line="56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观音山北路道路长</w:t>
      </w:r>
      <w:r>
        <w:rPr>
          <w:rFonts w:hint="eastAsia" w:ascii="方正仿宋_GBK" w:hAnsi="方正仿宋_GBK" w:eastAsia="方正仿宋_GBK" w:cs="方正仿宋_GBK"/>
          <w:sz w:val="28"/>
          <w:szCs w:val="28"/>
          <w:lang w:eastAsia="zh-CN"/>
        </w:rPr>
        <w:t>约</w:t>
      </w:r>
      <w:r>
        <w:rPr>
          <w:rFonts w:hint="eastAsia" w:ascii="方正仿宋_GBK" w:hAnsi="方正仿宋_GBK" w:eastAsia="方正仿宋_GBK" w:cs="方正仿宋_GBK"/>
          <w:sz w:val="28"/>
          <w:szCs w:val="28"/>
        </w:rPr>
        <w:t>1236.57m，K0+000-K0+808.085段为城市主干路，双向六车道，设计时速50km/h，标准路幅36m；K0+808.085-K1+2</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6.57段为城市支路，双向四车道，设计时速30km/h，标准路幅22m，照明按城市次干道设计。路线上2座跨线桥，桥梁总长约90m。</w:t>
      </w:r>
    </w:p>
    <w:p>
      <w:pPr>
        <w:pageBreakBefore w:val="0"/>
        <w:kinsoku/>
        <w:wordWrap/>
        <w:overflowPunct/>
        <w:topLinePunct w:val="0"/>
        <w:bidi w:val="0"/>
        <w:spacing w:line="56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观音山中路，为城市主干路，双向六车道，标准路幅为：5m人行道+26m车行道+5m人行道=36m，设计时速60km/h，道路长</w:t>
      </w:r>
      <w:r>
        <w:rPr>
          <w:rFonts w:hint="eastAsia" w:ascii="方正仿宋_GBK" w:hAnsi="方正仿宋_GBK" w:eastAsia="方正仿宋_GBK" w:cs="方正仿宋_GBK"/>
          <w:sz w:val="28"/>
          <w:szCs w:val="28"/>
          <w:lang w:eastAsia="zh-CN"/>
        </w:rPr>
        <w:t>约</w:t>
      </w:r>
      <w:r>
        <w:rPr>
          <w:rFonts w:hint="eastAsia" w:ascii="方正仿宋_GBK" w:hAnsi="方正仿宋_GBK" w:eastAsia="方正仿宋_GBK" w:cs="方正仿宋_GBK"/>
          <w:sz w:val="28"/>
          <w:szCs w:val="28"/>
        </w:rPr>
        <w:t>770.97m。路线上1座跨线桥，桥梁总长约82m。</w:t>
      </w:r>
    </w:p>
    <w:p>
      <w:pPr>
        <w:pageBreakBefore w:val="0"/>
        <w:kinsoku/>
        <w:wordWrap/>
        <w:overflowPunct/>
        <w:topLinePunct w:val="0"/>
        <w:bidi w:val="0"/>
        <w:spacing w:line="56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5、</w:t>
      </w:r>
      <w:r>
        <w:rPr>
          <w:rFonts w:hint="eastAsia" w:ascii="方正仿宋_GBK" w:hAnsi="方正仿宋_GBK" w:eastAsia="方正仿宋_GBK" w:cs="方正仿宋_GBK"/>
          <w:sz w:val="28"/>
          <w:szCs w:val="28"/>
        </w:rPr>
        <w:t>华东大道，为城市次干路，双向四车道，标准路幅为：4m人行道+16m车行道+4m人行道=24m，设计时速40km/h，道路长</w:t>
      </w:r>
      <w:r>
        <w:rPr>
          <w:rFonts w:hint="eastAsia" w:ascii="方正仿宋_GBK" w:hAnsi="方正仿宋_GBK" w:eastAsia="方正仿宋_GBK" w:cs="方正仿宋_GBK"/>
          <w:sz w:val="28"/>
          <w:szCs w:val="28"/>
          <w:lang w:eastAsia="zh-CN"/>
        </w:rPr>
        <w:t>约</w:t>
      </w:r>
      <w:r>
        <w:rPr>
          <w:rFonts w:hint="eastAsia" w:ascii="方正仿宋_GBK" w:hAnsi="方正仿宋_GBK" w:eastAsia="方正仿宋_GBK" w:cs="方正仿宋_GBK"/>
          <w:sz w:val="28"/>
          <w:szCs w:val="28"/>
        </w:rPr>
        <w:t>681.51m。路线上1座跨线桥，桥梁总长约40m。</w:t>
      </w:r>
    </w:p>
    <w:p>
      <w:pPr>
        <w:pageBreakBefore w:val="0"/>
        <w:kinsoku/>
        <w:wordWrap/>
        <w:overflowPunct/>
        <w:topLinePunct w:val="0"/>
        <w:bidi w:val="0"/>
        <w:spacing w:line="56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6、</w:t>
      </w:r>
      <w:r>
        <w:rPr>
          <w:rFonts w:hint="eastAsia" w:ascii="方正仿宋_GBK" w:hAnsi="方正仿宋_GBK" w:eastAsia="方正仿宋_GBK" w:cs="方正仿宋_GBK"/>
          <w:sz w:val="28"/>
          <w:szCs w:val="28"/>
        </w:rPr>
        <w:t>观音山西路，为城市次干路，双向六车道，标准路幅为：5m人行道+22m车行道+5m人行道=32m，设计时速40km/h，道路长</w:t>
      </w:r>
      <w:r>
        <w:rPr>
          <w:rFonts w:hint="eastAsia" w:ascii="方正仿宋_GBK" w:hAnsi="方正仿宋_GBK" w:eastAsia="方正仿宋_GBK" w:cs="方正仿宋_GBK"/>
          <w:sz w:val="28"/>
          <w:szCs w:val="28"/>
          <w:lang w:eastAsia="zh-CN"/>
        </w:rPr>
        <w:t>约</w:t>
      </w:r>
      <w:r>
        <w:rPr>
          <w:rFonts w:hint="eastAsia" w:ascii="方正仿宋_GBK" w:hAnsi="方正仿宋_GBK" w:eastAsia="方正仿宋_GBK" w:cs="方正仿宋_GBK"/>
          <w:sz w:val="28"/>
          <w:szCs w:val="28"/>
        </w:rPr>
        <w:t>2490m。路线上1座跨线桥，桥梁总长约53m。</w:t>
      </w:r>
    </w:p>
    <w:p>
      <w:pPr>
        <w:pageBreakBefore w:val="0"/>
        <w:kinsoku/>
        <w:wordWrap/>
        <w:overflowPunct/>
        <w:topLinePunct w:val="0"/>
        <w:bidi w:val="0"/>
        <w:spacing w:line="56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7、东城大道桥，桥梁总长约25m。</w:t>
      </w:r>
    </w:p>
    <w:p>
      <w:pPr>
        <w:pageBreakBefore w:val="0"/>
        <w:kinsoku/>
        <w:wordWrap/>
        <w:overflowPunct/>
        <w:topLinePunct w:val="0"/>
        <w:bidi w:val="0"/>
        <w:spacing w:line="560" w:lineRule="exact"/>
        <w:ind w:firstLine="840" w:firstLineChars="3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（四）竣工</w:t>
      </w:r>
      <w:r>
        <w:rPr>
          <w:rFonts w:hint="eastAsia" w:ascii="方正仿宋_GBK" w:hAnsi="方正仿宋_GBK" w:eastAsia="方正仿宋_GBK" w:cs="方正仿宋_GBK"/>
          <w:sz w:val="28"/>
          <w:szCs w:val="28"/>
        </w:rPr>
        <w:t>检</w:t>
      </w:r>
      <w:r>
        <w:rPr>
          <w:rFonts w:hint="eastAsia" w:ascii="方正仿宋_GBK" w:hAnsi="方正仿宋_GBK" w:eastAsia="方正仿宋_GBK" w:cs="方正仿宋_GBK"/>
          <w:sz w:val="28"/>
          <w:szCs w:val="28"/>
          <w:lang w:eastAsia="zh-CN"/>
        </w:rPr>
        <w:t>测</w:t>
      </w:r>
      <w:r>
        <w:rPr>
          <w:rFonts w:hint="eastAsia" w:ascii="方正仿宋_GBK" w:hAnsi="方正仿宋_GBK" w:eastAsia="方正仿宋_GBK" w:cs="方正仿宋_GBK"/>
          <w:sz w:val="28"/>
          <w:szCs w:val="28"/>
        </w:rPr>
        <w:t>内容及频率</w:t>
      </w:r>
    </w:p>
    <w:p>
      <w:pPr>
        <w:pageBreakBefore w:val="0"/>
        <w:kinsoku/>
        <w:wordWrap/>
        <w:overflowPunct/>
        <w:topLinePunct w:val="0"/>
        <w:bidi w:val="0"/>
        <w:spacing w:line="56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根据《公路工程竣（交）工验收办法与实施细则》附件1公路工程质量鉴定办法的要求，竣工工程实体检测包括如下内容：</w:t>
      </w:r>
    </w:p>
    <w:p>
      <w:pPr>
        <w:pageBreakBefore w:val="0"/>
        <w:kinsoku/>
        <w:wordWrap/>
        <w:overflowPunct/>
        <w:topLinePunct w:val="0"/>
        <w:bidi w:val="0"/>
        <w:spacing w:line="560" w:lineRule="exact"/>
        <w:jc w:val="center"/>
        <w:textAlignment w:val="auto"/>
        <w:rPr>
          <w:rFonts w:hint="eastAsia"/>
          <w:b/>
          <w:sz w:val="24"/>
        </w:rPr>
      </w:pPr>
      <w:r>
        <w:rPr>
          <w:rFonts w:hint="eastAsia"/>
          <w:b/>
          <w:sz w:val="24"/>
        </w:rPr>
        <w:t>表3.1 公路工程质量鉴定抽查项目（竣工）</w:t>
      </w:r>
    </w:p>
    <w:tbl>
      <w:tblPr>
        <w:tblStyle w:val="8"/>
        <w:tblpPr w:vertAnchor="page" w:horzAnchor="page" w:tblpX="1648" w:tblpY="2333"/>
        <w:tblOverlap w:val="never"/>
        <w:tblW w:w="8698"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 w:type="dxa"/>
          <w:bottom w:w="0" w:type="dxa"/>
          <w:right w:w="10" w:type="dxa"/>
        </w:tblCellMar>
      </w:tblPr>
      <w:tblGrid>
        <w:gridCol w:w="821"/>
        <w:gridCol w:w="1483"/>
        <w:gridCol w:w="965"/>
        <w:gridCol w:w="1488"/>
        <w:gridCol w:w="2165"/>
        <w:gridCol w:w="177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 w:type="dxa"/>
            <w:bottom w:w="0" w:type="dxa"/>
            <w:right w:w="10" w:type="dxa"/>
          </w:tblCellMar>
        </w:tblPrEx>
        <w:trPr>
          <w:trHeight w:val="758" w:hRule="exact"/>
          <w:jc w:val="center"/>
        </w:trPr>
        <w:tc>
          <w:tcPr>
            <w:tcW w:w="821" w:type="dxa"/>
            <w:shd w:val="clear" w:color="auto" w:fill="FFFFFF"/>
            <w:vAlign w:val="center"/>
          </w:tcPr>
          <w:p>
            <w:pPr>
              <w:pStyle w:val="10"/>
              <w:pageBreakBefore w:val="0"/>
              <w:kinsoku/>
              <w:wordWrap/>
              <w:overflowPunct/>
              <w:topLinePunct w:val="0"/>
              <w:bidi w:val="0"/>
              <w:spacing w:line="560" w:lineRule="exact"/>
              <w:textAlignment w:val="auto"/>
              <w:rPr>
                <w:color w:val="auto"/>
              </w:rPr>
            </w:pPr>
            <w:r>
              <w:rPr>
                <w:color w:val="auto"/>
              </w:rPr>
              <w:t>序号</w:t>
            </w:r>
          </w:p>
        </w:tc>
        <w:tc>
          <w:tcPr>
            <w:tcW w:w="1483" w:type="dxa"/>
            <w:shd w:val="clear" w:color="auto" w:fill="FFFFFF"/>
            <w:vAlign w:val="center"/>
          </w:tcPr>
          <w:p>
            <w:pPr>
              <w:pStyle w:val="10"/>
              <w:pageBreakBefore w:val="0"/>
              <w:kinsoku/>
              <w:wordWrap/>
              <w:overflowPunct/>
              <w:topLinePunct w:val="0"/>
              <w:bidi w:val="0"/>
              <w:spacing w:line="560" w:lineRule="exact"/>
              <w:textAlignment w:val="auto"/>
              <w:rPr>
                <w:color w:val="auto"/>
              </w:rPr>
            </w:pPr>
            <w:r>
              <w:rPr>
                <w:color w:val="auto"/>
              </w:rPr>
              <w:t>单位工程</w:t>
            </w:r>
          </w:p>
        </w:tc>
        <w:tc>
          <w:tcPr>
            <w:tcW w:w="965" w:type="dxa"/>
            <w:shd w:val="clear" w:color="auto" w:fill="FFFFFF"/>
            <w:vAlign w:val="center"/>
          </w:tcPr>
          <w:p>
            <w:pPr>
              <w:pStyle w:val="10"/>
              <w:pageBreakBefore w:val="0"/>
              <w:kinsoku/>
              <w:wordWrap/>
              <w:overflowPunct/>
              <w:topLinePunct w:val="0"/>
              <w:bidi w:val="0"/>
              <w:spacing w:line="560" w:lineRule="exact"/>
              <w:textAlignment w:val="auto"/>
              <w:rPr>
                <w:color w:val="auto"/>
              </w:rPr>
            </w:pPr>
            <w:r>
              <w:rPr>
                <w:color w:val="auto"/>
              </w:rPr>
              <w:t>分部工程</w:t>
            </w:r>
          </w:p>
        </w:tc>
        <w:tc>
          <w:tcPr>
            <w:tcW w:w="1488" w:type="dxa"/>
            <w:shd w:val="clear" w:color="auto" w:fill="FFFFFF"/>
            <w:vAlign w:val="center"/>
          </w:tcPr>
          <w:p>
            <w:pPr>
              <w:pStyle w:val="10"/>
              <w:pageBreakBefore w:val="0"/>
              <w:kinsoku/>
              <w:wordWrap/>
              <w:overflowPunct/>
              <w:topLinePunct w:val="0"/>
              <w:bidi w:val="0"/>
              <w:spacing w:line="560" w:lineRule="exact"/>
              <w:textAlignment w:val="auto"/>
              <w:rPr>
                <w:color w:val="auto"/>
              </w:rPr>
            </w:pPr>
            <w:r>
              <w:rPr>
                <w:color w:val="auto"/>
              </w:rPr>
              <w:t>检测项目</w:t>
            </w:r>
          </w:p>
        </w:tc>
        <w:tc>
          <w:tcPr>
            <w:tcW w:w="2165" w:type="dxa"/>
            <w:shd w:val="clear" w:color="auto" w:fill="FFFFFF"/>
            <w:vAlign w:val="center"/>
          </w:tcPr>
          <w:p>
            <w:pPr>
              <w:pStyle w:val="10"/>
              <w:pageBreakBefore w:val="0"/>
              <w:kinsoku/>
              <w:wordWrap/>
              <w:overflowPunct/>
              <w:topLinePunct w:val="0"/>
              <w:bidi w:val="0"/>
              <w:spacing w:line="560" w:lineRule="exact"/>
              <w:textAlignment w:val="auto"/>
              <w:rPr>
                <w:color w:val="auto"/>
              </w:rPr>
            </w:pPr>
            <w:r>
              <w:rPr>
                <w:color w:val="auto"/>
              </w:rPr>
              <w:t>检测频率</w:t>
            </w:r>
          </w:p>
        </w:tc>
        <w:tc>
          <w:tcPr>
            <w:tcW w:w="1776" w:type="dxa"/>
            <w:shd w:val="clear" w:color="auto" w:fill="FFFFFF"/>
            <w:vAlign w:val="center"/>
          </w:tcPr>
          <w:p>
            <w:pPr>
              <w:pStyle w:val="10"/>
              <w:pageBreakBefore w:val="0"/>
              <w:kinsoku/>
              <w:wordWrap/>
              <w:overflowPunct/>
              <w:topLinePunct w:val="0"/>
              <w:bidi w:val="0"/>
              <w:spacing w:line="560" w:lineRule="exact"/>
              <w:textAlignment w:val="auto"/>
              <w:rPr>
                <w:color w:val="auto"/>
              </w:rPr>
            </w:pPr>
            <w:r>
              <w:rPr>
                <w:color w:val="auto"/>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 w:type="dxa"/>
            <w:bottom w:w="0" w:type="dxa"/>
            <w:right w:w="10" w:type="dxa"/>
          </w:tblCellMar>
        </w:tblPrEx>
        <w:trPr>
          <w:trHeight w:val="542" w:hRule="exact"/>
          <w:jc w:val="center"/>
        </w:trPr>
        <w:tc>
          <w:tcPr>
            <w:tcW w:w="821" w:type="dxa"/>
            <w:shd w:val="clear" w:color="auto" w:fill="FFFFFF"/>
            <w:vAlign w:val="center"/>
          </w:tcPr>
          <w:p>
            <w:pPr>
              <w:pStyle w:val="10"/>
              <w:pageBreakBefore w:val="0"/>
              <w:kinsoku/>
              <w:wordWrap/>
              <w:overflowPunct/>
              <w:topLinePunct w:val="0"/>
              <w:bidi w:val="0"/>
              <w:spacing w:line="560" w:lineRule="exact"/>
              <w:textAlignment w:val="auto"/>
              <w:rPr>
                <w:rFonts w:hint="eastAsia" w:eastAsia="宋体"/>
                <w:color w:val="auto"/>
                <w:sz w:val="19"/>
                <w:szCs w:val="19"/>
                <w:lang w:eastAsia="zh-CN"/>
              </w:rPr>
            </w:pPr>
            <w:r>
              <w:rPr>
                <w:rFonts w:hint="eastAsia" w:eastAsia="宋体"/>
                <w:color w:val="auto"/>
                <w:sz w:val="19"/>
                <w:szCs w:val="19"/>
                <w:lang w:eastAsia="zh-CN"/>
              </w:rPr>
              <w:t>1</w:t>
            </w:r>
          </w:p>
        </w:tc>
        <w:tc>
          <w:tcPr>
            <w:tcW w:w="1483" w:type="dxa"/>
            <w:vMerge w:val="restart"/>
            <w:shd w:val="clear" w:color="auto" w:fill="FFFFFF"/>
            <w:vAlign w:val="center"/>
          </w:tcPr>
          <w:p>
            <w:pPr>
              <w:pageBreakBefore w:val="0"/>
              <w:kinsoku/>
              <w:wordWrap/>
              <w:overflowPunct/>
              <w:topLinePunct w:val="0"/>
              <w:bidi w:val="0"/>
              <w:spacing w:line="560" w:lineRule="exact"/>
              <w:jc w:val="center"/>
              <w:textAlignment w:val="auto"/>
              <w:rPr>
                <w:color w:val="auto"/>
              </w:rPr>
            </w:pPr>
            <w:r>
              <w:rPr>
                <w:color w:val="auto"/>
              </w:rPr>
              <w:t>路面工程</w:t>
            </w:r>
          </w:p>
        </w:tc>
        <w:tc>
          <w:tcPr>
            <w:tcW w:w="965" w:type="dxa"/>
            <w:vMerge w:val="restart"/>
            <w:shd w:val="clear" w:color="auto" w:fill="FFFFFF"/>
            <w:vAlign w:val="center"/>
          </w:tcPr>
          <w:p>
            <w:pPr>
              <w:pageBreakBefore w:val="0"/>
              <w:kinsoku/>
              <w:wordWrap/>
              <w:overflowPunct/>
              <w:topLinePunct w:val="0"/>
              <w:bidi w:val="0"/>
              <w:spacing w:line="560" w:lineRule="exact"/>
              <w:jc w:val="center"/>
              <w:textAlignment w:val="auto"/>
              <w:rPr>
                <w:color w:val="auto"/>
              </w:rPr>
            </w:pPr>
            <w:r>
              <w:rPr>
                <w:color w:val="auto"/>
              </w:rPr>
              <w:t>路面面层</w:t>
            </w:r>
          </w:p>
        </w:tc>
        <w:tc>
          <w:tcPr>
            <w:tcW w:w="1488" w:type="dxa"/>
            <w:shd w:val="clear" w:color="auto" w:fill="FFFFFF"/>
            <w:vAlign w:val="center"/>
          </w:tcPr>
          <w:p>
            <w:pPr>
              <w:pStyle w:val="10"/>
              <w:pageBreakBefore w:val="0"/>
              <w:kinsoku/>
              <w:wordWrap/>
              <w:overflowPunct/>
              <w:topLinePunct w:val="0"/>
              <w:bidi w:val="0"/>
              <w:spacing w:line="560" w:lineRule="exact"/>
              <w:textAlignment w:val="auto"/>
              <w:rPr>
                <w:color w:val="auto"/>
              </w:rPr>
            </w:pPr>
            <w:r>
              <w:rPr>
                <w:color w:val="auto"/>
              </w:rPr>
              <w:t>弯沉</w:t>
            </w:r>
          </w:p>
        </w:tc>
        <w:tc>
          <w:tcPr>
            <w:tcW w:w="2165" w:type="dxa"/>
            <w:shd w:val="clear" w:color="auto" w:fill="FFFFFF"/>
            <w:vAlign w:val="center"/>
          </w:tcPr>
          <w:p>
            <w:pPr>
              <w:pStyle w:val="10"/>
              <w:pageBreakBefore w:val="0"/>
              <w:kinsoku/>
              <w:wordWrap/>
              <w:overflowPunct/>
              <w:topLinePunct w:val="0"/>
              <w:bidi w:val="0"/>
              <w:spacing w:line="560" w:lineRule="exact"/>
              <w:textAlignment w:val="auto"/>
              <w:rPr>
                <w:color w:val="auto"/>
              </w:rPr>
            </w:pPr>
            <w:r>
              <w:rPr>
                <w:color w:val="auto"/>
              </w:rPr>
              <w:t>每半幅每公里</w:t>
            </w:r>
            <w:r>
              <w:rPr>
                <w:rFonts w:ascii="Times New Roman" w:hAnsi="Times New Roman" w:eastAsia="Times New Roman" w:cs="Times New Roman"/>
                <w:color w:val="auto"/>
                <w:sz w:val="19"/>
                <w:szCs w:val="19"/>
              </w:rPr>
              <w:t>40</w:t>
            </w:r>
            <w:r>
              <w:rPr>
                <w:color w:val="auto"/>
              </w:rPr>
              <w:t>点</w:t>
            </w:r>
          </w:p>
        </w:tc>
        <w:tc>
          <w:tcPr>
            <w:tcW w:w="1776" w:type="dxa"/>
            <w:shd w:val="clear" w:color="auto" w:fill="FFFFFF"/>
            <w:vAlign w:val="center"/>
          </w:tcPr>
          <w:p>
            <w:pPr>
              <w:pStyle w:val="10"/>
              <w:pageBreakBefore w:val="0"/>
              <w:kinsoku/>
              <w:wordWrap/>
              <w:overflowPunct/>
              <w:topLinePunct w:val="0"/>
              <w:bidi w:val="0"/>
              <w:spacing w:line="560" w:lineRule="exact"/>
              <w:textAlignment w:val="auto"/>
              <w:rPr>
                <w:color w:val="auto"/>
              </w:rPr>
            </w:pPr>
            <w:r>
              <w:rPr>
                <w:color w:val="auto"/>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 w:type="dxa"/>
            <w:bottom w:w="0" w:type="dxa"/>
            <w:right w:w="10" w:type="dxa"/>
          </w:tblCellMar>
        </w:tblPrEx>
        <w:trPr>
          <w:trHeight w:val="538" w:hRule="exact"/>
          <w:jc w:val="center"/>
        </w:trPr>
        <w:tc>
          <w:tcPr>
            <w:tcW w:w="821" w:type="dxa"/>
            <w:shd w:val="clear" w:color="auto" w:fill="FFFFFF"/>
            <w:vAlign w:val="center"/>
          </w:tcPr>
          <w:p>
            <w:pPr>
              <w:pStyle w:val="10"/>
              <w:pageBreakBefore w:val="0"/>
              <w:kinsoku/>
              <w:wordWrap/>
              <w:overflowPunct/>
              <w:topLinePunct w:val="0"/>
              <w:bidi w:val="0"/>
              <w:spacing w:line="560" w:lineRule="exact"/>
              <w:textAlignment w:val="auto"/>
              <w:rPr>
                <w:rFonts w:hint="eastAsia" w:eastAsia="宋体"/>
                <w:color w:val="auto"/>
                <w:sz w:val="19"/>
                <w:szCs w:val="19"/>
                <w:lang w:eastAsia="zh-CN"/>
              </w:rPr>
            </w:pPr>
            <w:r>
              <w:rPr>
                <w:rFonts w:hint="eastAsia" w:eastAsia="宋体"/>
                <w:color w:val="auto"/>
                <w:sz w:val="19"/>
                <w:szCs w:val="19"/>
                <w:lang w:eastAsia="zh-CN"/>
              </w:rPr>
              <w:t>2</w:t>
            </w:r>
          </w:p>
        </w:tc>
        <w:tc>
          <w:tcPr>
            <w:tcW w:w="1483" w:type="dxa"/>
            <w:vMerge w:val="continue"/>
            <w:shd w:val="clear" w:color="auto" w:fill="FFFFFF"/>
            <w:vAlign w:val="center"/>
          </w:tcPr>
          <w:p>
            <w:pPr>
              <w:pageBreakBefore w:val="0"/>
              <w:kinsoku/>
              <w:wordWrap/>
              <w:overflowPunct/>
              <w:topLinePunct w:val="0"/>
              <w:bidi w:val="0"/>
              <w:spacing w:line="560" w:lineRule="exact"/>
              <w:jc w:val="center"/>
              <w:textAlignment w:val="auto"/>
              <w:rPr>
                <w:color w:val="auto"/>
              </w:rPr>
            </w:pPr>
          </w:p>
        </w:tc>
        <w:tc>
          <w:tcPr>
            <w:tcW w:w="965" w:type="dxa"/>
            <w:vMerge w:val="continue"/>
            <w:shd w:val="clear" w:color="auto" w:fill="FFFFFF"/>
            <w:vAlign w:val="center"/>
          </w:tcPr>
          <w:p>
            <w:pPr>
              <w:pageBreakBefore w:val="0"/>
              <w:kinsoku/>
              <w:wordWrap/>
              <w:overflowPunct/>
              <w:topLinePunct w:val="0"/>
              <w:bidi w:val="0"/>
              <w:spacing w:line="560" w:lineRule="exact"/>
              <w:jc w:val="center"/>
              <w:textAlignment w:val="auto"/>
              <w:rPr>
                <w:color w:val="auto"/>
              </w:rPr>
            </w:pPr>
          </w:p>
        </w:tc>
        <w:tc>
          <w:tcPr>
            <w:tcW w:w="1488" w:type="dxa"/>
            <w:shd w:val="clear" w:color="auto" w:fill="FFFFFF"/>
            <w:vAlign w:val="center"/>
          </w:tcPr>
          <w:p>
            <w:pPr>
              <w:pStyle w:val="10"/>
              <w:pageBreakBefore w:val="0"/>
              <w:kinsoku/>
              <w:wordWrap/>
              <w:overflowPunct/>
              <w:topLinePunct w:val="0"/>
              <w:bidi w:val="0"/>
              <w:spacing w:line="560" w:lineRule="exact"/>
              <w:textAlignment w:val="auto"/>
              <w:rPr>
                <w:color w:val="auto"/>
              </w:rPr>
            </w:pPr>
            <w:r>
              <w:rPr>
                <w:color w:val="auto"/>
              </w:rPr>
              <w:t>车辙</w:t>
            </w:r>
          </w:p>
        </w:tc>
        <w:tc>
          <w:tcPr>
            <w:tcW w:w="2165" w:type="dxa"/>
            <w:shd w:val="clear" w:color="auto" w:fill="FFFFFF"/>
            <w:vAlign w:val="center"/>
          </w:tcPr>
          <w:p>
            <w:pPr>
              <w:pStyle w:val="10"/>
              <w:pageBreakBefore w:val="0"/>
              <w:kinsoku/>
              <w:wordWrap/>
              <w:overflowPunct/>
              <w:topLinePunct w:val="0"/>
              <w:bidi w:val="0"/>
              <w:spacing w:line="560" w:lineRule="exact"/>
              <w:textAlignment w:val="auto"/>
              <w:rPr>
                <w:color w:val="auto"/>
              </w:rPr>
            </w:pPr>
            <w:r>
              <w:rPr>
                <w:color w:val="auto"/>
              </w:rPr>
              <w:t>每公里每车道</w:t>
            </w:r>
            <w:r>
              <w:rPr>
                <w:rFonts w:ascii="Times New Roman" w:hAnsi="Times New Roman" w:eastAsia="Times New Roman" w:cs="Times New Roman"/>
                <w:color w:val="auto"/>
                <w:sz w:val="19"/>
                <w:szCs w:val="19"/>
              </w:rPr>
              <w:t>1</w:t>
            </w:r>
            <w:r>
              <w:rPr>
                <w:color w:val="auto"/>
              </w:rPr>
              <w:t>个断面</w:t>
            </w:r>
          </w:p>
        </w:tc>
        <w:tc>
          <w:tcPr>
            <w:tcW w:w="1776" w:type="dxa"/>
            <w:shd w:val="clear" w:color="auto" w:fill="FFFFFF"/>
            <w:vAlign w:val="center"/>
          </w:tcPr>
          <w:p>
            <w:pPr>
              <w:pStyle w:val="10"/>
              <w:pageBreakBefore w:val="0"/>
              <w:kinsoku/>
              <w:wordWrap/>
              <w:overflowPunct/>
              <w:topLinePunct w:val="0"/>
              <w:bidi w:val="0"/>
              <w:spacing w:line="560" w:lineRule="exact"/>
              <w:textAlignment w:val="auto"/>
              <w:rPr>
                <w:color w:val="auto"/>
              </w:rPr>
            </w:pPr>
            <w:r>
              <w:rPr>
                <w:color w:val="auto"/>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 w:type="dxa"/>
            <w:bottom w:w="0" w:type="dxa"/>
            <w:right w:w="10" w:type="dxa"/>
          </w:tblCellMar>
        </w:tblPrEx>
        <w:trPr>
          <w:trHeight w:val="677" w:hRule="exact"/>
          <w:jc w:val="center"/>
        </w:trPr>
        <w:tc>
          <w:tcPr>
            <w:tcW w:w="821" w:type="dxa"/>
            <w:shd w:val="clear" w:color="auto" w:fill="FFFFFF"/>
            <w:vAlign w:val="center"/>
          </w:tcPr>
          <w:p>
            <w:pPr>
              <w:pStyle w:val="10"/>
              <w:pageBreakBefore w:val="0"/>
              <w:kinsoku/>
              <w:wordWrap/>
              <w:overflowPunct/>
              <w:topLinePunct w:val="0"/>
              <w:bidi w:val="0"/>
              <w:spacing w:line="560" w:lineRule="exact"/>
              <w:textAlignment w:val="auto"/>
              <w:rPr>
                <w:rFonts w:hint="eastAsia" w:eastAsia="宋体"/>
                <w:color w:val="auto"/>
                <w:sz w:val="19"/>
                <w:szCs w:val="19"/>
                <w:lang w:eastAsia="zh-CN"/>
              </w:rPr>
            </w:pPr>
            <w:r>
              <w:rPr>
                <w:rFonts w:hint="eastAsia" w:eastAsia="宋体"/>
                <w:color w:val="auto"/>
                <w:sz w:val="19"/>
                <w:szCs w:val="19"/>
                <w:lang w:eastAsia="zh-CN"/>
              </w:rPr>
              <w:t>3</w:t>
            </w:r>
          </w:p>
        </w:tc>
        <w:tc>
          <w:tcPr>
            <w:tcW w:w="1483" w:type="dxa"/>
            <w:vMerge w:val="continue"/>
            <w:shd w:val="clear" w:color="auto" w:fill="FFFFFF"/>
            <w:vAlign w:val="center"/>
          </w:tcPr>
          <w:p>
            <w:pPr>
              <w:pageBreakBefore w:val="0"/>
              <w:kinsoku/>
              <w:wordWrap/>
              <w:overflowPunct/>
              <w:topLinePunct w:val="0"/>
              <w:bidi w:val="0"/>
              <w:spacing w:line="560" w:lineRule="exact"/>
              <w:jc w:val="center"/>
              <w:textAlignment w:val="auto"/>
              <w:rPr>
                <w:color w:val="auto"/>
              </w:rPr>
            </w:pPr>
          </w:p>
        </w:tc>
        <w:tc>
          <w:tcPr>
            <w:tcW w:w="965" w:type="dxa"/>
            <w:vMerge w:val="continue"/>
            <w:shd w:val="clear" w:color="auto" w:fill="FFFFFF"/>
            <w:vAlign w:val="center"/>
          </w:tcPr>
          <w:p>
            <w:pPr>
              <w:pageBreakBefore w:val="0"/>
              <w:kinsoku/>
              <w:wordWrap/>
              <w:overflowPunct/>
              <w:topLinePunct w:val="0"/>
              <w:bidi w:val="0"/>
              <w:spacing w:line="560" w:lineRule="exact"/>
              <w:jc w:val="center"/>
              <w:textAlignment w:val="auto"/>
              <w:rPr>
                <w:color w:val="auto"/>
              </w:rPr>
            </w:pPr>
          </w:p>
        </w:tc>
        <w:tc>
          <w:tcPr>
            <w:tcW w:w="1488" w:type="dxa"/>
            <w:shd w:val="clear" w:color="auto" w:fill="FFFFFF"/>
            <w:vAlign w:val="center"/>
          </w:tcPr>
          <w:p>
            <w:pPr>
              <w:pStyle w:val="10"/>
              <w:pageBreakBefore w:val="0"/>
              <w:kinsoku/>
              <w:wordWrap/>
              <w:overflowPunct/>
              <w:topLinePunct w:val="0"/>
              <w:bidi w:val="0"/>
              <w:spacing w:line="560" w:lineRule="exact"/>
              <w:textAlignment w:val="auto"/>
              <w:rPr>
                <w:color w:val="auto"/>
              </w:rPr>
            </w:pPr>
            <w:r>
              <w:rPr>
                <w:color w:val="auto"/>
              </w:rPr>
              <w:t>平整度</w:t>
            </w:r>
          </w:p>
        </w:tc>
        <w:tc>
          <w:tcPr>
            <w:tcW w:w="2165" w:type="dxa"/>
            <w:shd w:val="clear" w:color="auto" w:fill="FFFFFF"/>
            <w:vAlign w:val="center"/>
          </w:tcPr>
          <w:p>
            <w:pPr>
              <w:pStyle w:val="10"/>
              <w:pageBreakBefore w:val="0"/>
              <w:kinsoku/>
              <w:wordWrap/>
              <w:overflowPunct/>
              <w:topLinePunct w:val="0"/>
              <w:bidi w:val="0"/>
              <w:spacing w:line="560" w:lineRule="exact"/>
              <w:textAlignment w:val="auto"/>
              <w:rPr>
                <w:color w:val="auto"/>
                <w:sz w:val="19"/>
                <w:szCs w:val="19"/>
              </w:rPr>
            </w:pPr>
            <w:r>
              <w:rPr>
                <w:color w:val="auto"/>
              </w:rPr>
              <w:t>每车道连续按每</w:t>
            </w:r>
            <w:r>
              <w:rPr>
                <w:rFonts w:ascii="Times New Roman" w:hAnsi="Times New Roman" w:eastAsia="Times New Roman" w:cs="Times New Roman"/>
                <w:color w:val="auto"/>
                <w:sz w:val="19"/>
                <w:szCs w:val="19"/>
              </w:rPr>
              <w:t>100</w:t>
            </w:r>
            <w:r>
              <w:rPr>
                <w:color w:val="auto"/>
              </w:rPr>
              <w:t>米 计算</w:t>
            </w:r>
            <w:r>
              <w:rPr>
                <w:rFonts w:hint="eastAsia" w:ascii="宋体" w:hAnsi="宋体" w:eastAsia="宋体" w:cs="Times New Roman"/>
                <w:color w:val="auto"/>
                <w:sz w:val="19"/>
                <w:szCs w:val="19"/>
              </w:rPr>
              <w:t>σ</w:t>
            </w:r>
          </w:p>
        </w:tc>
        <w:tc>
          <w:tcPr>
            <w:tcW w:w="1776" w:type="dxa"/>
            <w:shd w:val="clear" w:color="auto" w:fill="FFFFFF"/>
            <w:vAlign w:val="center"/>
          </w:tcPr>
          <w:p>
            <w:pPr>
              <w:pStyle w:val="10"/>
              <w:pageBreakBefore w:val="0"/>
              <w:kinsoku/>
              <w:wordWrap/>
              <w:overflowPunct/>
              <w:topLinePunct w:val="0"/>
              <w:bidi w:val="0"/>
              <w:spacing w:line="560" w:lineRule="exact"/>
              <w:textAlignment w:val="auto"/>
              <w:rPr>
                <w:color w:val="auto"/>
              </w:rPr>
            </w:pPr>
            <w:r>
              <w:rPr>
                <w:color w:val="auto"/>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 w:type="dxa"/>
            <w:bottom w:w="0" w:type="dxa"/>
            <w:right w:w="10" w:type="dxa"/>
          </w:tblCellMar>
        </w:tblPrEx>
        <w:trPr>
          <w:trHeight w:val="547" w:hRule="exact"/>
          <w:jc w:val="center"/>
        </w:trPr>
        <w:tc>
          <w:tcPr>
            <w:tcW w:w="821" w:type="dxa"/>
            <w:shd w:val="clear" w:color="auto" w:fill="FFFFFF"/>
            <w:vAlign w:val="center"/>
          </w:tcPr>
          <w:p>
            <w:pPr>
              <w:pStyle w:val="10"/>
              <w:pageBreakBefore w:val="0"/>
              <w:kinsoku/>
              <w:wordWrap/>
              <w:overflowPunct/>
              <w:topLinePunct w:val="0"/>
              <w:bidi w:val="0"/>
              <w:spacing w:line="560" w:lineRule="exact"/>
              <w:textAlignment w:val="auto"/>
              <w:rPr>
                <w:rFonts w:hint="eastAsia" w:eastAsia="宋体"/>
                <w:color w:val="auto"/>
                <w:sz w:val="19"/>
                <w:szCs w:val="19"/>
                <w:lang w:eastAsia="zh-CN"/>
              </w:rPr>
            </w:pPr>
            <w:r>
              <w:rPr>
                <w:rFonts w:hint="eastAsia" w:eastAsia="宋体"/>
                <w:color w:val="auto"/>
                <w:sz w:val="19"/>
                <w:szCs w:val="19"/>
                <w:lang w:eastAsia="zh-CN"/>
              </w:rPr>
              <w:t>4</w:t>
            </w:r>
          </w:p>
        </w:tc>
        <w:tc>
          <w:tcPr>
            <w:tcW w:w="1483" w:type="dxa"/>
            <w:vMerge w:val="continue"/>
            <w:shd w:val="clear" w:color="auto" w:fill="FFFFFF"/>
            <w:vAlign w:val="center"/>
          </w:tcPr>
          <w:p>
            <w:pPr>
              <w:pageBreakBefore w:val="0"/>
              <w:kinsoku/>
              <w:wordWrap/>
              <w:overflowPunct/>
              <w:topLinePunct w:val="0"/>
              <w:bidi w:val="0"/>
              <w:spacing w:line="560" w:lineRule="exact"/>
              <w:jc w:val="center"/>
              <w:textAlignment w:val="auto"/>
              <w:rPr>
                <w:color w:val="auto"/>
              </w:rPr>
            </w:pPr>
          </w:p>
        </w:tc>
        <w:tc>
          <w:tcPr>
            <w:tcW w:w="965" w:type="dxa"/>
            <w:vMerge w:val="continue"/>
            <w:shd w:val="clear" w:color="auto" w:fill="FFFFFF"/>
            <w:vAlign w:val="center"/>
          </w:tcPr>
          <w:p>
            <w:pPr>
              <w:pageBreakBefore w:val="0"/>
              <w:kinsoku/>
              <w:wordWrap/>
              <w:overflowPunct/>
              <w:topLinePunct w:val="0"/>
              <w:bidi w:val="0"/>
              <w:spacing w:line="560" w:lineRule="exact"/>
              <w:jc w:val="center"/>
              <w:textAlignment w:val="auto"/>
              <w:rPr>
                <w:color w:val="auto"/>
              </w:rPr>
            </w:pPr>
          </w:p>
        </w:tc>
        <w:tc>
          <w:tcPr>
            <w:tcW w:w="1488" w:type="dxa"/>
            <w:shd w:val="clear" w:color="auto" w:fill="FFFFFF"/>
            <w:vAlign w:val="center"/>
          </w:tcPr>
          <w:p>
            <w:pPr>
              <w:pStyle w:val="10"/>
              <w:pageBreakBefore w:val="0"/>
              <w:kinsoku/>
              <w:wordWrap/>
              <w:overflowPunct/>
              <w:topLinePunct w:val="0"/>
              <w:bidi w:val="0"/>
              <w:spacing w:line="560" w:lineRule="exact"/>
              <w:textAlignment w:val="auto"/>
              <w:rPr>
                <w:color w:val="auto"/>
              </w:rPr>
            </w:pPr>
            <w:r>
              <w:rPr>
                <w:color w:val="auto"/>
              </w:rPr>
              <w:t>构造深度</w:t>
            </w:r>
          </w:p>
        </w:tc>
        <w:tc>
          <w:tcPr>
            <w:tcW w:w="2165" w:type="dxa"/>
            <w:shd w:val="clear" w:color="auto" w:fill="FFFFFF"/>
            <w:vAlign w:val="center"/>
          </w:tcPr>
          <w:p>
            <w:pPr>
              <w:pStyle w:val="10"/>
              <w:pageBreakBefore w:val="0"/>
              <w:kinsoku/>
              <w:wordWrap/>
              <w:overflowPunct/>
              <w:topLinePunct w:val="0"/>
              <w:bidi w:val="0"/>
              <w:spacing w:line="560" w:lineRule="exact"/>
              <w:textAlignment w:val="auto"/>
              <w:rPr>
                <w:color w:val="auto"/>
              </w:rPr>
            </w:pPr>
            <w:r>
              <w:rPr>
                <w:color w:val="auto"/>
              </w:rPr>
              <w:t>每公里</w:t>
            </w:r>
            <w:r>
              <w:rPr>
                <w:rFonts w:ascii="Times New Roman" w:hAnsi="Times New Roman" w:eastAsia="Times New Roman" w:cs="Times New Roman"/>
                <w:color w:val="auto"/>
                <w:sz w:val="19"/>
                <w:szCs w:val="19"/>
              </w:rPr>
              <w:t>1</w:t>
            </w:r>
            <w:r>
              <w:rPr>
                <w:color w:val="auto"/>
              </w:rPr>
              <w:t>处</w:t>
            </w:r>
          </w:p>
        </w:tc>
        <w:tc>
          <w:tcPr>
            <w:tcW w:w="1776" w:type="dxa"/>
            <w:shd w:val="clear" w:color="auto" w:fill="FFFFFF"/>
            <w:vAlign w:val="center"/>
          </w:tcPr>
          <w:p>
            <w:pPr>
              <w:pStyle w:val="10"/>
              <w:pageBreakBefore w:val="0"/>
              <w:kinsoku/>
              <w:wordWrap/>
              <w:overflowPunct/>
              <w:topLinePunct w:val="0"/>
              <w:bidi w:val="0"/>
              <w:spacing w:line="560" w:lineRule="exact"/>
              <w:textAlignment w:val="auto"/>
              <w:rPr>
                <w:color w:val="auto"/>
              </w:rPr>
            </w:pPr>
            <w:r>
              <w:rPr>
                <w:color w:val="auto"/>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 w:type="dxa"/>
            <w:bottom w:w="0" w:type="dxa"/>
            <w:right w:w="10" w:type="dxa"/>
          </w:tblCellMar>
        </w:tblPrEx>
        <w:trPr>
          <w:trHeight w:val="538" w:hRule="exact"/>
          <w:jc w:val="center"/>
        </w:trPr>
        <w:tc>
          <w:tcPr>
            <w:tcW w:w="821" w:type="dxa"/>
            <w:shd w:val="clear" w:color="auto" w:fill="FFFFFF"/>
            <w:vAlign w:val="center"/>
          </w:tcPr>
          <w:p>
            <w:pPr>
              <w:pStyle w:val="10"/>
              <w:pageBreakBefore w:val="0"/>
              <w:kinsoku/>
              <w:wordWrap/>
              <w:overflowPunct/>
              <w:topLinePunct w:val="0"/>
              <w:bidi w:val="0"/>
              <w:spacing w:line="560" w:lineRule="exact"/>
              <w:textAlignment w:val="auto"/>
              <w:rPr>
                <w:rFonts w:hint="eastAsia" w:eastAsia="宋体"/>
                <w:color w:val="auto"/>
                <w:sz w:val="19"/>
                <w:szCs w:val="19"/>
                <w:lang w:eastAsia="zh-CN"/>
              </w:rPr>
            </w:pPr>
            <w:r>
              <w:rPr>
                <w:rFonts w:hint="eastAsia" w:eastAsia="宋体"/>
                <w:color w:val="auto"/>
                <w:sz w:val="19"/>
                <w:szCs w:val="19"/>
                <w:lang w:eastAsia="zh-CN"/>
              </w:rPr>
              <w:t>5</w:t>
            </w:r>
          </w:p>
        </w:tc>
        <w:tc>
          <w:tcPr>
            <w:tcW w:w="1483" w:type="dxa"/>
            <w:vMerge w:val="continue"/>
            <w:shd w:val="clear" w:color="auto" w:fill="FFFFFF"/>
            <w:vAlign w:val="center"/>
          </w:tcPr>
          <w:p>
            <w:pPr>
              <w:pageBreakBefore w:val="0"/>
              <w:kinsoku/>
              <w:wordWrap/>
              <w:overflowPunct/>
              <w:topLinePunct w:val="0"/>
              <w:bidi w:val="0"/>
              <w:spacing w:line="560" w:lineRule="exact"/>
              <w:jc w:val="center"/>
              <w:textAlignment w:val="auto"/>
              <w:rPr>
                <w:color w:val="auto"/>
              </w:rPr>
            </w:pPr>
          </w:p>
        </w:tc>
        <w:tc>
          <w:tcPr>
            <w:tcW w:w="965" w:type="dxa"/>
            <w:vMerge w:val="continue"/>
            <w:shd w:val="clear" w:color="auto" w:fill="FFFFFF"/>
            <w:vAlign w:val="center"/>
          </w:tcPr>
          <w:p>
            <w:pPr>
              <w:pageBreakBefore w:val="0"/>
              <w:kinsoku/>
              <w:wordWrap/>
              <w:overflowPunct/>
              <w:topLinePunct w:val="0"/>
              <w:bidi w:val="0"/>
              <w:spacing w:line="560" w:lineRule="exact"/>
              <w:jc w:val="center"/>
              <w:textAlignment w:val="auto"/>
              <w:rPr>
                <w:color w:val="auto"/>
              </w:rPr>
            </w:pPr>
          </w:p>
        </w:tc>
        <w:tc>
          <w:tcPr>
            <w:tcW w:w="1488" w:type="dxa"/>
            <w:shd w:val="clear" w:color="auto" w:fill="FFFFFF"/>
            <w:vAlign w:val="center"/>
          </w:tcPr>
          <w:p>
            <w:pPr>
              <w:pStyle w:val="10"/>
              <w:pageBreakBefore w:val="0"/>
              <w:kinsoku/>
              <w:wordWrap/>
              <w:overflowPunct/>
              <w:topLinePunct w:val="0"/>
              <w:bidi w:val="0"/>
              <w:spacing w:line="560" w:lineRule="exact"/>
              <w:textAlignment w:val="auto"/>
              <w:rPr>
                <w:color w:val="auto"/>
              </w:rPr>
            </w:pPr>
            <w:r>
              <w:rPr>
                <w:color w:val="auto"/>
              </w:rPr>
              <w:t>摩擦系数</w:t>
            </w:r>
          </w:p>
        </w:tc>
        <w:tc>
          <w:tcPr>
            <w:tcW w:w="2165" w:type="dxa"/>
            <w:shd w:val="clear" w:color="auto" w:fill="FFFFFF"/>
            <w:vAlign w:val="center"/>
          </w:tcPr>
          <w:p>
            <w:pPr>
              <w:pStyle w:val="10"/>
              <w:pageBreakBefore w:val="0"/>
              <w:kinsoku/>
              <w:wordWrap/>
              <w:overflowPunct/>
              <w:topLinePunct w:val="0"/>
              <w:bidi w:val="0"/>
              <w:spacing w:line="560" w:lineRule="exact"/>
              <w:textAlignment w:val="auto"/>
              <w:rPr>
                <w:color w:val="auto"/>
              </w:rPr>
            </w:pPr>
            <w:r>
              <w:rPr>
                <w:color w:val="auto"/>
              </w:rPr>
              <w:t>每公里</w:t>
            </w:r>
            <w:r>
              <w:rPr>
                <w:rFonts w:ascii="Times New Roman" w:hAnsi="Times New Roman" w:eastAsia="Times New Roman" w:cs="Times New Roman"/>
                <w:color w:val="auto"/>
                <w:sz w:val="19"/>
                <w:szCs w:val="19"/>
              </w:rPr>
              <w:t>1</w:t>
            </w:r>
            <w:r>
              <w:rPr>
                <w:color w:val="auto"/>
              </w:rPr>
              <w:t>处</w:t>
            </w:r>
          </w:p>
        </w:tc>
        <w:tc>
          <w:tcPr>
            <w:tcW w:w="1776" w:type="dxa"/>
            <w:shd w:val="clear" w:color="auto" w:fill="FFFFFF"/>
            <w:vAlign w:val="center"/>
          </w:tcPr>
          <w:p>
            <w:pPr>
              <w:pStyle w:val="10"/>
              <w:pageBreakBefore w:val="0"/>
              <w:kinsoku/>
              <w:wordWrap/>
              <w:overflowPunct/>
              <w:topLinePunct w:val="0"/>
              <w:bidi w:val="0"/>
              <w:spacing w:line="560" w:lineRule="exact"/>
              <w:textAlignment w:val="auto"/>
              <w:rPr>
                <w:color w:val="auto"/>
              </w:rPr>
            </w:pPr>
            <w:r>
              <w:rPr>
                <w:color w:val="auto"/>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 w:type="dxa"/>
            <w:bottom w:w="0" w:type="dxa"/>
            <w:right w:w="10" w:type="dxa"/>
          </w:tblCellMar>
        </w:tblPrEx>
        <w:trPr>
          <w:trHeight w:val="843" w:hRule="exact"/>
          <w:jc w:val="center"/>
        </w:trPr>
        <w:tc>
          <w:tcPr>
            <w:tcW w:w="821" w:type="dxa"/>
            <w:shd w:val="clear" w:color="auto" w:fill="FFFFFF"/>
            <w:vAlign w:val="center"/>
          </w:tcPr>
          <w:p>
            <w:pPr>
              <w:pStyle w:val="10"/>
              <w:pageBreakBefore w:val="0"/>
              <w:kinsoku/>
              <w:wordWrap/>
              <w:overflowPunct/>
              <w:topLinePunct w:val="0"/>
              <w:bidi w:val="0"/>
              <w:spacing w:line="560" w:lineRule="exact"/>
              <w:textAlignment w:val="auto"/>
              <w:rPr>
                <w:rFonts w:hint="eastAsia" w:ascii="Times New Roman" w:hAnsi="Times New Roman" w:eastAsia="宋体" w:cs="Times New Roman"/>
                <w:color w:val="auto"/>
                <w:sz w:val="19"/>
                <w:szCs w:val="19"/>
                <w:lang w:eastAsia="zh-CN"/>
              </w:rPr>
            </w:pPr>
            <w:r>
              <w:rPr>
                <w:rFonts w:hint="eastAsia" w:ascii="Times New Roman" w:hAnsi="Times New Roman" w:eastAsia="宋体" w:cs="Times New Roman"/>
                <w:color w:val="auto"/>
                <w:sz w:val="19"/>
                <w:szCs w:val="19"/>
                <w:lang w:eastAsia="zh-CN"/>
              </w:rPr>
              <w:t>6</w:t>
            </w:r>
          </w:p>
        </w:tc>
        <w:tc>
          <w:tcPr>
            <w:tcW w:w="1483" w:type="dxa"/>
            <w:vMerge w:val="restart"/>
            <w:shd w:val="clear" w:color="auto" w:fill="FFFFFF"/>
            <w:vAlign w:val="center"/>
          </w:tcPr>
          <w:p>
            <w:pPr>
              <w:pageBreakBefore w:val="0"/>
              <w:kinsoku/>
              <w:wordWrap/>
              <w:overflowPunct/>
              <w:topLinePunct w:val="0"/>
              <w:bidi w:val="0"/>
              <w:spacing w:line="560" w:lineRule="exact"/>
              <w:jc w:val="center"/>
              <w:textAlignment w:val="auto"/>
              <w:rPr>
                <w:color w:val="auto"/>
              </w:rPr>
            </w:pPr>
            <w:r>
              <w:rPr>
                <w:color w:val="auto"/>
              </w:rPr>
              <w:t>桥梁（不含小桥）</w:t>
            </w:r>
          </w:p>
        </w:tc>
        <w:tc>
          <w:tcPr>
            <w:tcW w:w="965" w:type="dxa"/>
            <w:vMerge w:val="restart"/>
            <w:shd w:val="clear" w:color="auto" w:fill="FFFFFF"/>
            <w:vAlign w:val="center"/>
          </w:tcPr>
          <w:p>
            <w:pPr>
              <w:pageBreakBefore w:val="0"/>
              <w:kinsoku/>
              <w:wordWrap/>
              <w:overflowPunct/>
              <w:topLinePunct w:val="0"/>
              <w:bidi w:val="0"/>
              <w:spacing w:line="560" w:lineRule="exact"/>
              <w:jc w:val="center"/>
              <w:textAlignment w:val="auto"/>
              <w:rPr>
                <w:color w:val="auto"/>
              </w:rPr>
            </w:pPr>
            <w:r>
              <w:rPr>
                <w:color w:val="auto"/>
              </w:rPr>
              <w:t>桥面系</w:t>
            </w:r>
          </w:p>
        </w:tc>
        <w:tc>
          <w:tcPr>
            <w:tcW w:w="1488" w:type="dxa"/>
            <w:shd w:val="clear" w:color="auto" w:fill="FFFFFF"/>
            <w:vAlign w:val="center"/>
          </w:tcPr>
          <w:p>
            <w:pPr>
              <w:pStyle w:val="10"/>
              <w:pageBreakBefore w:val="0"/>
              <w:kinsoku/>
              <w:wordWrap/>
              <w:overflowPunct/>
              <w:topLinePunct w:val="0"/>
              <w:bidi w:val="0"/>
              <w:spacing w:line="560" w:lineRule="exact"/>
              <w:textAlignment w:val="auto"/>
              <w:rPr>
                <w:color w:val="auto"/>
              </w:rPr>
            </w:pPr>
            <w:r>
              <w:rPr>
                <w:color w:val="auto"/>
              </w:rPr>
              <w:t>桥面铺装平整度</w:t>
            </w:r>
          </w:p>
        </w:tc>
        <w:tc>
          <w:tcPr>
            <w:tcW w:w="2165" w:type="dxa"/>
            <w:shd w:val="clear" w:color="auto" w:fill="FFFFFF"/>
            <w:vAlign w:val="center"/>
          </w:tcPr>
          <w:p>
            <w:pPr>
              <w:pStyle w:val="10"/>
              <w:pageBreakBefore w:val="0"/>
              <w:kinsoku/>
              <w:wordWrap/>
              <w:overflowPunct/>
              <w:topLinePunct w:val="0"/>
              <w:bidi w:val="0"/>
              <w:spacing w:line="560" w:lineRule="exact"/>
              <w:textAlignment w:val="auto"/>
              <w:rPr>
                <w:rFonts w:hint="eastAsia" w:eastAsia="宋体"/>
                <w:color w:val="auto"/>
                <w:lang w:eastAsia="zh-CN"/>
              </w:rPr>
            </w:pPr>
            <w:r>
              <w:rPr>
                <w:color w:val="auto"/>
              </w:rPr>
              <w:t>每联</w:t>
            </w:r>
            <w:r>
              <w:rPr>
                <w:rFonts w:hint="eastAsia" w:eastAsia="宋体"/>
                <w:color w:val="auto"/>
                <w:lang w:eastAsia="zh-CN"/>
              </w:rPr>
              <w:t>用三米直尺测3处，每处3尺</w:t>
            </w:r>
          </w:p>
        </w:tc>
        <w:tc>
          <w:tcPr>
            <w:tcW w:w="1776" w:type="dxa"/>
            <w:shd w:val="clear" w:color="auto" w:fill="FFFFFF"/>
            <w:vAlign w:val="center"/>
          </w:tcPr>
          <w:p>
            <w:pPr>
              <w:pStyle w:val="10"/>
              <w:pageBreakBefore w:val="0"/>
              <w:kinsoku/>
              <w:wordWrap/>
              <w:overflowPunct/>
              <w:topLinePunct w:val="0"/>
              <w:bidi w:val="0"/>
              <w:spacing w:line="560" w:lineRule="exact"/>
              <w:textAlignment w:val="auto"/>
              <w:rPr>
                <w:rFonts w:hint="eastAsia" w:eastAsia="宋体"/>
                <w:color w:val="auto"/>
                <w:lang w:eastAsia="zh-CN"/>
              </w:rPr>
            </w:pPr>
            <w:r>
              <w:rPr>
                <w:rFonts w:hint="eastAsia" w:eastAsia="宋体"/>
                <w:color w:val="auto"/>
                <w:lang w:eastAsia="zh-CN"/>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 w:type="dxa"/>
            <w:bottom w:w="0" w:type="dxa"/>
            <w:right w:w="10" w:type="dxa"/>
          </w:tblCellMar>
        </w:tblPrEx>
        <w:trPr>
          <w:trHeight w:val="538" w:hRule="exact"/>
          <w:jc w:val="center"/>
        </w:trPr>
        <w:tc>
          <w:tcPr>
            <w:tcW w:w="821" w:type="dxa"/>
            <w:shd w:val="clear" w:color="auto" w:fill="FFFFFF"/>
            <w:vAlign w:val="center"/>
          </w:tcPr>
          <w:p>
            <w:pPr>
              <w:pStyle w:val="10"/>
              <w:pageBreakBefore w:val="0"/>
              <w:kinsoku/>
              <w:wordWrap/>
              <w:overflowPunct/>
              <w:topLinePunct w:val="0"/>
              <w:bidi w:val="0"/>
              <w:spacing w:line="560" w:lineRule="exact"/>
              <w:textAlignment w:val="auto"/>
              <w:rPr>
                <w:rFonts w:hint="eastAsia" w:ascii="Times New Roman" w:hAnsi="Times New Roman" w:eastAsia="宋体" w:cs="Times New Roman"/>
                <w:color w:val="auto"/>
                <w:sz w:val="19"/>
                <w:szCs w:val="19"/>
                <w:lang w:eastAsia="zh-CN"/>
              </w:rPr>
            </w:pPr>
            <w:r>
              <w:rPr>
                <w:rFonts w:hint="eastAsia" w:ascii="Times New Roman" w:hAnsi="Times New Roman" w:eastAsia="宋体" w:cs="Times New Roman"/>
                <w:color w:val="auto"/>
                <w:sz w:val="19"/>
                <w:szCs w:val="19"/>
                <w:lang w:eastAsia="zh-CN"/>
              </w:rPr>
              <w:t>7</w:t>
            </w:r>
          </w:p>
        </w:tc>
        <w:tc>
          <w:tcPr>
            <w:tcW w:w="1483" w:type="dxa"/>
            <w:vMerge w:val="continue"/>
            <w:shd w:val="clear" w:color="auto" w:fill="FFFFFF"/>
            <w:vAlign w:val="center"/>
          </w:tcPr>
          <w:p>
            <w:pPr>
              <w:pageBreakBefore w:val="0"/>
              <w:kinsoku/>
              <w:wordWrap/>
              <w:overflowPunct/>
              <w:topLinePunct w:val="0"/>
              <w:bidi w:val="0"/>
              <w:spacing w:line="560" w:lineRule="exact"/>
              <w:jc w:val="center"/>
              <w:textAlignment w:val="auto"/>
              <w:rPr>
                <w:color w:val="auto"/>
              </w:rPr>
            </w:pPr>
          </w:p>
        </w:tc>
        <w:tc>
          <w:tcPr>
            <w:tcW w:w="965" w:type="dxa"/>
            <w:vMerge w:val="continue"/>
            <w:shd w:val="clear" w:color="auto" w:fill="FFFFFF"/>
            <w:vAlign w:val="center"/>
          </w:tcPr>
          <w:p>
            <w:pPr>
              <w:pageBreakBefore w:val="0"/>
              <w:kinsoku/>
              <w:wordWrap/>
              <w:overflowPunct/>
              <w:topLinePunct w:val="0"/>
              <w:bidi w:val="0"/>
              <w:spacing w:line="560" w:lineRule="exact"/>
              <w:jc w:val="center"/>
              <w:textAlignment w:val="auto"/>
              <w:rPr>
                <w:color w:val="auto"/>
              </w:rPr>
            </w:pPr>
          </w:p>
        </w:tc>
        <w:tc>
          <w:tcPr>
            <w:tcW w:w="1488" w:type="dxa"/>
            <w:shd w:val="clear" w:color="auto" w:fill="FFFFFF"/>
            <w:vAlign w:val="center"/>
          </w:tcPr>
          <w:p>
            <w:pPr>
              <w:pStyle w:val="10"/>
              <w:pageBreakBefore w:val="0"/>
              <w:kinsoku/>
              <w:wordWrap/>
              <w:overflowPunct/>
              <w:topLinePunct w:val="0"/>
              <w:bidi w:val="0"/>
              <w:spacing w:line="560" w:lineRule="exact"/>
              <w:textAlignment w:val="auto"/>
              <w:rPr>
                <w:color w:val="auto"/>
              </w:rPr>
            </w:pPr>
            <w:r>
              <w:rPr>
                <w:color w:val="auto"/>
              </w:rPr>
              <w:t>桥面抗滑</w:t>
            </w:r>
          </w:p>
        </w:tc>
        <w:tc>
          <w:tcPr>
            <w:tcW w:w="2165" w:type="dxa"/>
            <w:shd w:val="clear" w:color="auto" w:fill="FFFFFF"/>
            <w:vAlign w:val="center"/>
          </w:tcPr>
          <w:p>
            <w:pPr>
              <w:pStyle w:val="10"/>
              <w:pageBreakBefore w:val="0"/>
              <w:kinsoku/>
              <w:wordWrap/>
              <w:overflowPunct/>
              <w:topLinePunct w:val="0"/>
              <w:bidi w:val="0"/>
              <w:spacing w:line="560" w:lineRule="exact"/>
              <w:textAlignment w:val="auto"/>
              <w:rPr>
                <w:rFonts w:hint="eastAsia" w:eastAsia="宋体"/>
                <w:color w:val="auto"/>
                <w:lang w:eastAsia="zh-CN"/>
              </w:rPr>
            </w:pPr>
            <w:r>
              <w:rPr>
                <w:color w:val="auto"/>
              </w:rPr>
              <w:t>每</w:t>
            </w:r>
            <w:r>
              <w:rPr>
                <w:rFonts w:hint="eastAsia" w:eastAsia="宋体"/>
                <w:color w:val="auto"/>
                <w:lang w:eastAsia="zh-CN"/>
              </w:rPr>
              <w:t>200m测不少于3处</w:t>
            </w:r>
          </w:p>
        </w:tc>
        <w:tc>
          <w:tcPr>
            <w:tcW w:w="1776" w:type="dxa"/>
            <w:shd w:val="clear" w:color="auto" w:fill="FFFFFF"/>
            <w:vAlign w:val="center"/>
          </w:tcPr>
          <w:p>
            <w:pPr>
              <w:pStyle w:val="10"/>
              <w:pageBreakBefore w:val="0"/>
              <w:kinsoku/>
              <w:wordWrap/>
              <w:overflowPunct/>
              <w:topLinePunct w:val="0"/>
              <w:bidi w:val="0"/>
              <w:spacing w:line="560" w:lineRule="exact"/>
              <w:textAlignment w:val="auto"/>
              <w:rPr>
                <w:rFonts w:hint="eastAsia" w:eastAsia="宋体"/>
                <w:color w:val="auto"/>
                <w:lang w:eastAsia="zh-CN"/>
              </w:rPr>
            </w:pPr>
            <w:r>
              <w:rPr>
                <w:rFonts w:hint="eastAsia" w:eastAsia="宋体"/>
                <w:color w:val="auto"/>
                <w:lang w:eastAsia="zh-CN"/>
              </w:rPr>
              <w:t>/</w:t>
            </w:r>
          </w:p>
        </w:tc>
      </w:tr>
    </w:tbl>
    <w:p>
      <w:pPr>
        <w:pageBreakBefore w:val="0"/>
        <w:kinsoku/>
        <w:wordWrap/>
        <w:overflowPunct/>
        <w:topLinePunct w:val="0"/>
        <w:bidi w:val="0"/>
        <w:spacing w:line="56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同时，对竣工工程，需进行外观全面检查。检查工作内容见《公路工程竣（交）工验收办法与实施细则》附件1公路工程质量鉴定外观检查表。</w:t>
      </w:r>
    </w:p>
    <w:p>
      <w:pPr>
        <w:pageBreakBefore w:val="0"/>
        <w:kinsoku/>
        <w:wordWrap/>
        <w:overflowPunct/>
        <w:topLinePunct w:val="0"/>
        <w:bidi w:val="0"/>
        <w:spacing w:line="560" w:lineRule="exact"/>
        <w:ind w:firstLine="560"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（五）工期要求：乙方收集基础资料后10个工作日内完成。</w:t>
      </w:r>
    </w:p>
    <w:p>
      <w:pPr>
        <w:pageBreakBefore w:val="0"/>
        <w:kinsoku/>
        <w:wordWrap/>
        <w:overflowPunct/>
        <w:topLinePunct w:val="0"/>
        <w:bidi w:val="0"/>
        <w:spacing w:line="560" w:lineRule="exact"/>
        <w:ind w:firstLine="560"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（六）质量目标：满足国家及行业相关规范</w:t>
      </w:r>
      <w:r>
        <w:rPr>
          <w:rFonts w:hint="eastAsia" w:ascii="方正仿宋_GBK" w:hAnsi="方正仿宋_GBK" w:eastAsia="方正仿宋_GBK" w:cs="方正仿宋_GBK"/>
          <w:sz w:val="28"/>
          <w:szCs w:val="28"/>
          <w:lang w:eastAsia="zh-CN"/>
        </w:rPr>
        <w:t>要求</w:t>
      </w:r>
      <w:r>
        <w:rPr>
          <w:rFonts w:hint="eastAsia" w:ascii="方正仿宋_GBK" w:hAnsi="方正仿宋_GBK" w:eastAsia="方正仿宋_GBK" w:cs="方正仿宋_GBK"/>
          <w:sz w:val="28"/>
          <w:szCs w:val="28"/>
        </w:rPr>
        <w:t>,并获得甲方认可。</w:t>
      </w:r>
    </w:p>
    <w:p>
      <w:pPr>
        <w:pageBreakBefore w:val="0"/>
        <w:kinsoku/>
        <w:wordWrap/>
        <w:overflowPunct/>
        <w:topLinePunct w:val="0"/>
        <w:bidi w:val="0"/>
        <w:spacing w:line="560" w:lineRule="exact"/>
        <w:ind w:firstLine="560"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（七）结算原则：本项目总价包干。</w:t>
      </w:r>
    </w:p>
    <w:p>
      <w:pPr>
        <w:pageBreakBefore w:val="0"/>
        <w:widowControl/>
        <w:kinsoku/>
        <w:wordWrap/>
        <w:overflowPunct/>
        <w:topLinePunct w:val="0"/>
        <w:bidi w:val="0"/>
        <w:spacing w:line="560" w:lineRule="exact"/>
        <w:ind w:firstLine="560" w:firstLineChars="2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（八）支付方式：</w:t>
      </w:r>
    </w:p>
    <w:p>
      <w:pPr>
        <w:pageBreakBefore w:val="0"/>
        <w:widowControl/>
        <w:kinsoku/>
        <w:wordWrap/>
        <w:overflowPunct/>
        <w:topLinePunct w:val="0"/>
        <w:bidi w:val="0"/>
        <w:spacing w:line="560" w:lineRule="exact"/>
        <w:ind w:firstLine="560" w:firstLineChars="200"/>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eastAsia="zh-CN"/>
        </w:rPr>
        <w:t>乙方提交该项目竣工检测正式报告后，支付至中标价的</w:t>
      </w:r>
      <w:r>
        <w:rPr>
          <w:rFonts w:hint="eastAsia" w:ascii="方正仿宋_GBK" w:hAnsi="方正仿宋_GBK" w:eastAsia="方正仿宋_GBK" w:cs="方正仿宋_GBK"/>
          <w:sz w:val="28"/>
          <w:szCs w:val="28"/>
          <w:lang w:val="en-US" w:eastAsia="zh-CN"/>
        </w:rPr>
        <w:t>80%，竣工验收后支付至</w:t>
      </w:r>
      <w:r>
        <w:rPr>
          <w:rFonts w:hint="eastAsia" w:ascii="方正仿宋_GBK" w:hAnsi="方正仿宋_GBK" w:eastAsia="方正仿宋_GBK" w:cs="方正仿宋_GBK"/>
          <w:sz w:val="28"/>
          <w:szCs w:val="28"/>
          <w:lang w:eastAsia="zh-CN"/>
        </w:rPr>
        <w:t>中标价的</w:t>
      </w:r>
      <w:r>
        <w:rPr>
          <w:rFonts w:hint="eastAsia" w:ascii="方正仿宋_GBK" w:hAnsi="方正仿宋_GBK" w:eastAsia="方正仿宋_GBK" w:cs="方正仿宋_GBK"/>
          <w:sz w:val="28"/>
          <w:szCs w:val="28"/>
          <w:lang w:val="en-US" w:eastAsia="zh-CN"/>
        </w:rPr>
        <w:t>100%。</w:t>
      </w:r>
    </w:p>
    <w:p>
      <w:pPr>
        <w:pageBreakBefore w:val="0"/>
        <w:kinsoku/>
        <w:wordWrap/>
        <w:overflowPunct/>
        <w:topLinePunct w:val="0"/>
        <w:bidi w:val="0"/>
        <w:spacing w:line="560" w:lineRule="exact"/>
        <w:textAlignment w:val="auto"/>
        <w:rPr>
          <w:rFonts w:ascii="仿宋_GB2312" w:hAnsi="仿宋_GB2312" w:eastAsia="仿宋_GB2312" w:cs="仿宋_GB2312"/>
          <w:sz w:val="28"/>
          <w:szCs w:val="28"/>
        </w:rPr>
      </w:pPr>
      <w:r>
        <w:rPr>
          <w:rFonts w:hint="eastAsia" w:ascii="黑体" w:hAnsi="黑体" w:eastAsia="黑体" w:cs="黑体"/>
          <w:b/>
          <w:sz w:val="32"/>
          <w:szCs w:val="32"/>
        </w:rPr>
        <w:t>二、比选方式</w:t>
      </w:r>
    </w:p>
    <w:p>
      <w:pPr>
        <w:pageBreakBefore w:val="0"/>
        <w:kinsoku/>
        <w:wordWrap/>
        <w:overflowPunct/>
        <w:topLinePunct w:val="0"/>
        <w:bidi w:val="0"/>
        <w:spacing w:line="560" w:lineRule="exact"/>
        <w:ind w:firstLine="560" w:firstLineChars="200"/>
        <w:textAlignment w:val="auto"/>
        <w:rPr>
          <w:rFonts w:ascii="仿宋_GB2312" w:hAnsi="仿宋_GB2312" w:eastAsia="仿宋_GB2312" w:cs="仿宋_GB2312"/>
          <w:sz w:val="28"/>
          <w:szCs w:val="28"/>
        </w:rPr>
      </w:pPr>
      <w:bookmarkStart w:id="0" w:name="_Toc166834470"/>
      <w:r>
        <w:rPr>
          <w:rFonts w:hint="eastAsia" w:ascii="仿宋_GB2312" w:hAnsi="仿宋_GB2312" w:eastAsia="仿宋_GB2312" w:cs="仿宋_GB2312"/>
          <w:sz w:val="28"/>
          <w:szCs w:val="28"/>
        </w:rPr>
        <w:t>（一）比选文件递交时间和地点：2020年</w:t>
      </w:r>
      <w:r>
        <w:rPr>
          <w:rFonts w:hint="eastAsia" w:ascii="仿宋_GB2312" w:hAnsi="仿宋_GB2312" w:eastAsia="仿宋_GB2312" w:cs="仿宋_GB2312"/>
          <w:sz w:val="28"/>
          <w:szCs w:val="28"/>
          <w:lang w:val="en-US" w:eastAsia="zh-CN"/>
        </w:rPr>
        <w:t xml:space="preserve"> 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 22 </w:t>
      </w:r>
      <w:r>
        <w:rPr>
          <w:rFonts w:hint="eastAsia" w:ascii="仿宋_GB2312" w:hAnsi="仿宋_GB2312" w:eastAsia="仿宋_GB2312" w:cs="仿宋_GB2312"/>
          <w:sz w:val="28"/>
          <w:szCs w:val="28"/>
        </w:rPr>
        <w:t>日14时</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0分至14时</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0分（北京时间），逾期送达或者不按照招标文件要求密封的比选文件，招标人不予受理。递交文件地点为重庆公路物流基地</w:t>
      </w:r>
      <w:r>
        <w:rPr>
          <w:rFonts w:hint="eastAsia" w:ascii="仿宋_GB2312" w:hAnsi="仿宋_GB2312" w:eastAsia="仿宋_GB2312" w:cs="仿宋_GB2312"/>
          <w:sz w:val="28"/>
          <w:szCs w:val="28"/>
          <w:lang w:eastAsia="zh-CN"/>
        </w:rPr>
        <w:t>工程建设</w:t>
      </w:r>
      <w:r>
        <w:rPr>
          <w:rFonts w:hint="eastAsia" w:ascii="仿宋_GB2312" w:hAnsi="仿宋_GB2312" w:eastAsia="仿宋_GB2312" w:cs="仿宋_GB2312"/>
          <w:sz w:val="28"/>
          <w:szCs w:val="28"/>
        </w:rPr>
        <w:t>部。</w:t>
      </w:r>
    </w:p>
    <w:p>
      <w:pPr>
        <w:pageBreakBefore w:val="0"/>
        <w:kinsoku/>
        <w:wordWrap/>
        <w:overflowPunct/>
        <w:topLinePunct w:val="0"/>
        <w:bidi w:val="0"/>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（二）递交比选文件截止和开标时间</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2020年</w:t>
      </w:r>
      <w:r>
        <w:rPr>
          <w:rFonts w:hint="eastAsia" w:ascii="仿宋_GB2312" w:hAnsi="仿宋_GB2312" w:eastAsia="仿宋_GB2312" w:cs="仿宋_GB2312"/>
          <w:sz w:val="28"/>
          <w:szCs w:val="28"/>
          <w:lang w:val="en-US" w:eastAsia="zh-CN"/>
        </w:rPr>
        <w:t xml:space="preserve"> 6 </w:t>
      </w:r>
      <w:r>
        <w:rPr>
          <w:rFonts w:hint="eastAsia" w:ascii="仿宋_GB2312" w:hAnsi="仿宋_GB2312" w:eastAsia="仿宋_GB2312" w:cs="仿宋_GB2312"/>
          <w:sz w:val="28"/>
          <w:szCs w:val="28"/>
        </w:rPr>
        <w:t>月</w:t>
      </w:r>
      <w:bookmarkStart w:id="1" w:name="_GoBack"/>
      <w:bookmarkEnd w:id="1"/>
      <w:r>
        <w:rPr>
          <w:rFonts w:hint="eastAsia" w:ascii="仿宋_GB2312" w:hAnsi="仿宋_GB2312" w:eastAsia="仿宋_GB2312" w:cs="仿宋_GB2312"/>
          <w:sz w:val="28"/>
          <w:szCs w:val="28"/>
          <w:lang w:val="en-US" w:eastAsia="zh-CN"/>
        </w:rPr>
        <w:t xml:space="preserve">22 </w:t>
      </w:r>
      <w:r>
        <w:rPr>
          <w:rFonts w:hint="eastAsia" w:ascii="仿宋_GB2312" w:hAnsi="仿宋_GB2312" w:eastAsia="仿宋_GB2312" w:cs="仿宋_GB2312"/>
          <w:sz w:val="28"/>
          <w:szCs w:val="28"/>
        </w:rPr>
        <w:t>日1</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时</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0分(北京时间)。</w:t>
      </w:r>
    </w:p>
    <w:p>
      <w:pPr>
        <w:pageBreakBefore w:val="0"/>
        <w:kinsoku/>
        <w:wordWrap/>
        <w:overflowPunct/>
        <w:topLinePunct w:val="0"/>
        <w:bidi w:val="0"/>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（三）比选函及资格审查材料按资审要求提供，须各自单独装订成册，字迹、资料文件内容须清晰可辨，格式须采用比选公告后附格式，否则按废标处理。</w:t>
      </w:r>
    </w:p>
    <w:bookmarkEnd w:id="0"/>
    <w:p>
      <w:pPr>
        <w:pageBreakBefore w:val="0"/>
        <w:kinsoku/>
        <w:wordWrap/>
        <w:overflowPunct/>
        <w:topLinePunct w:val="0"/>
        <w:bidi w:val="0"/>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四）投标文件组成：投标单位营业执照（或统一社会信用代码证书）、相应资质证书、投标委托书及委托代理人身份证，比选函等复印件或打印件加盖鲜章，按本段文字罗列顺序装订成册后加盖单位鲜章。（本次比选对比选文件袋的规格、材质均不做强制性要求，但应满足本条所述的装订要求，否则招标人有权拒收比选文件）。</w:t>
      </w:r>
    </w:p>
    <w:p>
      <w:pPr>
        <w:pageBreakBefore w:val="0"/>
        <w:kinsoku/>
        <w:wordWrap/>
        <w:overflowPunct/>
        <w:topLinePunct w:val="0"/>
        <w:bidi w:val="0"/>
        <w:spacing w:line="560" w:lineRule="exact"/>
        <w:ind w:firstLine="643" w:firstLineChars="200"/>
        <w:textAlignment w:val="auto"/>
        <w:rPr>
          <w:rFonts w:ascii="黑体" w:hAnsi="黑体" w:eastAsia="黑体" w:cs="黑体"/>
          <w:b/>
          <w:sz w:val="32"/>
          <w:szCs w:val="32"/>
        </w:rPr>
      </w:pPr>
      <w:r>
        <w:rPr>
          <w:rFonts w:hint="eastAsia" w:ascii="黑体" w:hAnsi="黑体" w:eastAsia="黑体" w:cs="黑体"/>
          <w:b/>
          <w:sz w:val="32"/>
          <w:szCs w:val="32"/>
        </w:rPr>
        <w:t>三、资审要求</w:t>
      </w:r>
    </w:p>
    <w:p>
      <w:pPr>
        <w:pageBreakBefore w:val="0"/>
        <w:kinsoku/>
        <w:wordWrap/>
        <w:overflowPunct/>
        <w:topLinePunct w:val="0"/>
        <w:bidi w:val="0"/>
        <w:spacing w:line="56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w:t>
      </w:r>
      <w:r>
        <w:rPr>
          <w:rFonts w:hint="eastAsia" w:ascii="仿宋_GB2312" w:hAnsi="仿宋_GB2312" w:eastAsia="仿宋_GB2312" w:cs="仿宋_GB2312"/>
          <w:sz w:val="28"/>
          <w:szCs w:val="28"/>
        </w:rPr>
        <w:t>本次比选要求投标人须具</w:t>
      </w:r>
      <w:r>
        <w:rPr>
          <w:rFonts w:hint="eastAsia" w:ascii="仿宋_GB2312" w:hAnsi="仿宋_GB2312" w:eastAsia="仿宋_GB2312" w:cs="仿宋_GB2312"/>
          <w:sz w:val="28"/>
          <w:szCs w:val="28"/>
          <w:lang w:eastAsia="zh-CN"/>
        </w:rPr>
        <w:t>有交通运输主管部门颁发的公路工程试验检测综合甲级资质或综合乙级资质（须具有相应桥梁检测参数）</w:t>
      </w:r>
      <w:r>
        <w:rPr>
          <w:rFonts w:hint="eastAsia" w:ascii="仿宋_GB2312" w:hAnsi="仿宋_GB2312" w:eastAsia="仿宋_GB2312" w:cs="仿宋_GB2312"/>
          <w:sz w:val="28"/>
          <w:szCs w:val="28"/>
        </w:rPr>
        <w:t>，并在人员、设备、资金等方面具备相应的实施能力。</w:t>
      </w:r>
      <w:r>
        <w:rPr>
          <w:rFonts w:hint="eastAsia" w:ascii="仿宋_GB2312" w:hAnsi="仿宋_GB2312" w:eastAsia="仿宋_GB2312" w:cs="仿宋_GB2312"/>
          <w:sz w:val="28"/>
          <w:szCs w:val="28"/>
          <w:lang w:eastAsia="zh-CN"/>
        </w:rPr>
        <w:t>（二）外地入渝企业应提供入渝备案登记表。</w:t>
      </w:r>
    </w:p>
    <w:p>
      <w:pPr>
        <w:pageBreakBefore w:val="0"/>
        <w:kinsoku/>
        <w:wordWrap/>
        <w:overflowPunct/>
        <w:topLinePunct w:val="0"/>
        <w:bidi w:val="0"/>
        <w:spacing w:line="560" w:lineRule="exact"/>
        <w:ind w:firstLine="643" w:firstLineChars="200"/>
        <w:textAlignment w:val="auto"/>
        <w:rPr>
          <w:rFonts w:ascii="黑体" w:hAnsi="黑体" w:eastAsia="黑体" w:cs="黑体"/>
          <w:b/>
          <w:sz w:val="32"/>
          <w:szCs w:val="32"/>
        </w:rPr>
      </w:pPr>
      <w:r>
        <w:rPr>
          <w:rFonts w:hint="eastAsia" w:ascii="黑体" w:hAnsi="黑体" w:eastAsia="黑体" w:cs="黑体"/>
          <w:b/>
          <w:sz w:val="32"/>
          <w:szCs w:val="32"/>
        </w:rPr>
        <w:t>四、最高限价</w:t>
      </w:r>
    </w:p>
    <w:p>
      <w:pPr>
        <w:pageBreakBefore w:val="0"/>
        <w:kinsoku/>
        <w:wordWrap/>
        <w:overflowPunct/>
        <w:topLinePunct w:val="0"/>
        <w:bidi w:val="0"/>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本次招标以总价包干的方式报价，</w:t>
      </w:r>
      <w:r>
        <w:rPr>
          <w:rFonts w:hint="eastAsia" w:ascii="仿宋_GB2312" w:hAnsi="仿宋_GB2312" w:eastAsia="仿宋_GB2312" w:cs="仿宋_GB2312"/>
          <w:sz w:val="28"/>
          <w:szCs w:val="28"/>
          <w:lang w:eastAsia="zh-CN"/>
        </w:rPr>
        <w:t>竣工检测费</w:t>
      </w:r>
      <w:r>
        <w:rPr>
          <w:rFonts w:hint="eastAsia" w:ascii="仿宋_GB2312" w:hAnsi="仿宋_GB2312" w:eastAsia="仿宋_GB2312" w:cs="仿宋_GB2312"/>
          <w:sz w:val="28"/>
          <w:szCs w:val="28"/>
        </w:rPr>
        <w:t>（含税）包干最高限价为</w:t>
      </w:r>
      <w:r>
        <w:rPr>
          <w:rFonts w:hint="eastAsia" w:ascii="仿宋_GB2312" w:hAnsi="仿宋_GB2312" w:eastAsia="仿宋_GB2312" w:cs="仿宋_GB2312"/>
          <w:b/>
          <w:bCs/>
          <w:sz w:val="28"/>
          <w:szCs w:val="28"/>
          <w:lang w:val="en-US" w:eastAsia="zh-CN"/>
        </w:rPr>
        <w:t>25万</w:t>
      </w:r>
      <w:r>
        <w:rPr>
          <w:rFonts w:hint="eastAsia" w:ascii="仿宋_GB2312" w:hAnsi="仿宋_GB2312" w:eastAsia="仿宋_GB2312" w:cs="仿宋_GB2312"/>
          <w:b/>
          <w:bCs/>
          <w:sz w:val="28"/>
          <w:szCs w:val="28"/>
        </w:rPr>
        <w:t>元</w:t>
      </w:r>
      <w:r>
        <w:rPr>
          <w:rFonts w:hint="eastAsia" w:ascii="仿宋_GB2312" w:hAnsi="仿宋_GB2312" w:eastAsia="仿宋_GB2312" w:cs="仿宋_GB2312"/>
          <w:sz w:val="28"/>
          <w:szCs w:val="28"/>
        </w:rPr>
        <w:t>（大写：</w:t>
      </w:r>
      <w:r>
        <w:rPr>
          <w:rFonts w:hint="eastAsia" w:ascii="仿宋_GB2312" w:hAnsi="仿宋_GB2312" w:eastAsia="仿宋_GB2312" w:cs="仿宋_GB2312"/>
          <w:sz w:val="28"/>
          <w:szCs w:val="28"/>
          <w:lang w:eastAsia="zh-CN"/>
        </w:rPr>
        <w:t>贰</w:t>
      </w:r>
      <w:r>
        <w:rPr>
          <w:rFonts w:hint="eastAsia" w:ascii="仿宋_GB2312" w:hAnsi="仿宋_GB2312" w:eastAsia="仿宋_GB2312" w:cs="仿宋_GB2312"/>
          <w:sz w:val="28"/>
          <w:szCs w:val="28"/>
        </w:rPr>
        <w:t>拾</w:t>
      </w:r>
      <w:r>
        <w:rPr>
          <w:rFonts w:hint="eastAsia" w:ascii="仿宋_GB2312" w:hAnsi="仿宋_GB2312" w:eastAsia="仿宋_GB2312" w:cs="仿宋_GB2312"/>
          <w:sz w:val="28"/>
          <w:szCs w:val="28"/>
          <w:lang w:eastAsia="zh-CN"/>
        </w:rPr>
        <w:t>伍万</w:t>
      </w:r>
      <w:r>
        <w:rPr>
          <w:rFonts w:hint="eastAsia" w:ascii="仿宋_GB2312" w:hAnsi="仿宋_GB2312" w:eastAsia="仿宋_GB2312" w:cs="仿宋_GB2312"/>
          <w:sz w:val="28"/>
          <w:szCs w:val="28"/>
        </w:rPr>
        <w:t>元整） ，其报价不能高于最高限价，否则按废标处理。</w:t>
      </w:r>
    </w:p>
    <w:p>
      <w:pPr>
        <w:pageBreakBefore w:val="0"/>
        <w:kinsoku/>
        <w:wordWrap/>
        <w:overflowPunct/>
        <w:topLinePunct w:val="0"/>
        <w:bidi w:val="0"/>
        <w:spacing w:line="560" w:lineRule="exact"/>
        <w:ind w:firstLine="643" w:firstLineChars="200"/>
        <w:textAlignment w:val="auto"/>
        <w:rPr>
          <w:rFonts w:ascii="黑体" w:hAnsi="黑体" w:eastAsia="黑体" w:cs="黑体"/>
          <w:b/>
          <w:sz w:val="32"/>
          <w:szCs w:val="32"/>
        </w:rPr>
      </w:pPr>
      <w:r>
        <w:rPr>
          <w:rFonts w:hint="eastAsia" w:ascii="黑体" w:hAnsi="黑体" w:eastAsia="黑体" w:cs="黑体"/>
          <w:b/>
          <w:sz w:val="32"/>
          <w:szCs w:val="32"/>
        </w:rPr>
        <w:t>五、评标</w:t>
      </w:r>
    </w:p>
    <w:p>
      <w:pPr>
        <w:pageBreakBefore w:val="0"/>
        <w:kinsoku/>
        <w:wordWrap/>
        <w:overflowPunct/>
        <w:topLinePunct w:val="0"/>
        <w:bidi w:val="0"/>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本项目评标采用合理低价评审办法，所有通过资格审查的投标人（招标人设有最高限价的，则投标报价高于相应最高限价的除外），报价最低的即为第一中标候选人，第二、第三中标候选人以此类推（若报价相同时，现场随机抽签决定排名顺序）。</w:t>
      </w:r>
    </w:p>
    <w:p>
      <w:pPr>
        <w:pageBreakBefore w:val="0"/>
        <w:kinsoku/>
        <w:wordWrap/>
        <w:overflowPunct/>
        <w:topLinePunct w:val="0"/>
        <w:bidi w:val="0"/>
        <w:spacing w:line="560" w:lineRule="exact"/>
        <w:ind w:firstLine="643" w:firstLineChars="200"/>
        <w:textAlignment w:val="auto"/>
        <w:rPr>
          <w:rFonts w:ascii="黑体" w:hAnsi="黑体" w:eastAsia="黑体" w:cs="黑体"/>
          <w:b/>
          <w:sz w:val="32"/>
          <w:szCs w:val="32"/>
        </w:rPr>
      </w:pPr>
      <w:r>
        <w:rPr>
          <w:rFonts w:hint="eastAsia" w:ascii="黑体" w:hAnsi="黑体" w:eastAsia="黑体" w:cs="黑体"/>
          <w:b/>
          <w:sz w:val="32"/>
          <w:szCs w:val="32"/>
        </w:rPr>
        <w:t>六、投标有效期</w:t>
      </w:r>
    </w:p>
    <w:p>
      <w:pPr>
        <w:pageBreakBefore w:val="0"/>
        <w:kinsoku/>
        <w:wordWrap/>
        <w:overflowPunct/>
        <w:topLinePunct w:val="0"/>
        <w:bidi w:val="0"/>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本项目投标有效期：</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0天</w:t>
      </w:r>
    </w:p>
    <w:p>
      <w:pPr>
        <w:pageBreakBefore w:val="0"/>
        <w:kinsoku/>
        <w:wordWrap/>
        <w:overflowPunct/>
        <w:topLinePunct w:val="0"/>
        <w:bidi w:val="0"/>
        <w:spacing w:line="560" w:lineRule="exact"/>
        <w:textAlignment w:val="auto"/>
        <w:rPr>
          <w:rFonts w:ascii="黑体" w:hAnsi="黑体" w:eastAsia="黑体" w:cs="黑体"/>
          <w:b/>
          <w:sz w:val="32"/>
          <w:szCs w:val="32"/>
        </w:rPr>
      </w:pPr>
    </w:p>
    <w:p>
      <w:pPr>
        <w:pageBreakBefore w:val="0"/>
        <w:kinsoku/>
        <w:wordWrap/>
        <w:overflowPunct/>
        <w:topLinePunct w:val="0"/>
        <w:bidi w:val="0"/>
        <w:spacing w:line="560" w:lineRule="exact"/>
        <w:textAlignment w:val="auto"/>
        <w:rPr>
          <w:rFonts w:ascii="仿宋_GB2312" w:hAnsi="仿宋_GB2312" w:eastAsia="仿宋_GB2312" w:cs="仿宋_GB2312"/>
          <w:sz w:val="28"/>
          <w:szCs w:val="28"/>
        </w:rPr>
      </w:pPr>
    </w:p>
    <w:p>
      <w:pPr>
        <w:pageBreakBefore w:val="0"/>
        <w:kinsoku/>
        <w:wordWrap/>
        <w:overflowPunct/>
        <w:topLinePunct w:val="0"/>
        <w:bidi w:val="0"/>
        <w:spacing w:line="560" w:lineRule="exact"/>
        <w:ind w:firstLine="6720" w:firstLineChars="2400"/>
        <w:textAlignment w:val="auto"/>
      </w:pPr>
      <w:r>
        <w:rPr>
          <w:rFonts w:hint="eastAsia" w:ascii="仿宋_GB2312" w:hAnsi="仿宋_GB2312" w:eastAsia="仿宋_GB2312" w:cs="仿宋_GB2312"/>
          <w:sz w:val="28"/>
          <w:szCs w:val="28"/>
        </w:rPr>
        <w:t>2020年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日</w:t>
      </w:r>
    </w:p>
    <w:sectPr>
      <w:pgSz w:w="11906" w:h="16838"/>
      <w:pgMar w:top="590" w:right="1236" w:bottom="590" w:left="140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4239E7"/>
    <w:rsid w:val="002348EA"/>
    <w:rsid w:val="00296348"/>
    <w:rsid w:val="005254D8"/>
    <w:rsid w:val="005D5EC5"/>
    <w:rsid w:val="007F2B24"/>
    <w:rsid w:val="007F5EA5"/>
    <w:rsid w:val="00C25431"/>
    <w:rsid w:val="00C82BC8"/>
    <w:rsid w:val="00CE251A"/>
    <w:rsid w:val="00E11BE9"/>
    <w:rsid w:val="00E61F04"/>
    <w:rsid w:val="00F119BB"/>
    <w:rsid w:val="010D5E2B"/>
    <w:rsid w:val="01873D00"/>
    <w:rsid w:val="0221225B"/>
    <w:rsid w:val="02FF6889"/>
    <w:rsid w:val="033633D4"/>
    <w:rsid w:val="037C1523"/>
    <w:rsid w:val="03813B24"/>
    <w:rsid w:val="03C07C1C"/>
    <w:rsid w:val="08523290"/>
    <w:rsid w:val="0AE61475"/>
    <w:rsid w:val="0BF126C1"/>
    <w:rsid w:val="0C5C2F8B"/>
    <w:rsid w:val="0C7557F9"/>
    <w:rsid w:val="12805819"/>
    <w:rsid w:val="12C9308C"/>
    <w:rsid w:val="12FE253D"/>
    <w:rsid w:val="187E5F76"/>
    <w:rsid w:val="18F01A19"/>
    <w:rsid w:val="19D878E6"/>
    <w:rsid w:val="1A293EA2"/>
    <w:rsid w:val="1A370010"/>
    <w:rsid w:val="1A641A2D"/>
    <w:rsid w:val="1A686259"/>
    <w:rsid w:val="1AAA20DE"/>
    <w:rsid w:val="1BD153B5"/>
    <w:rsid w:val="1D5B6366"/>
    <w:rsid w:val="1D8A6C58"/>
    <w:rsid w:val="1DAC35BE"/>
    <w:rsid w:val="1E483EBC"/>
    <w:rsid w:val="1FCB281D"/>
    <w:rsid w:val="1FE43E70"/>
    <w:rsid w:val="210A47F4"/>
    <w:rsid w:val="2127354B"/>
    <w:rsid w:val="215C3997"/>
    <w:rsid w:val="21B6594D"/>
    <w:rsid w:val="24651872"/>
    <w:rsid w:val="24937D41"/>
    <w:rsid w:val="26872BD3"/>
    <w:rsid w:val="26A67F1B"/>
    <w:rsid w:val="27F20C26"/>
    <w:rsid w:val="2AFA5C41"/>
    <w:rsid w:val="2BD320B7"/>
    <w:rsid w:val="2C3D745A"/>
    <w:rsid w:val="2D6656C8"/>
    <w:rsid w:val="2E3556EE"/>
    <w:rsid w:val="2E405D66"/>
    <w:rsid w:val="2E461916"/>
    <w:rsid w:val="2FB04382"/>
    <w:rsid w:val="30097A7B"/>
    <w:rsid w:val="303F6EB4"/>
    <w:rsid w:val="304C6543"/>
    <w:rsid w:val="32881FFA"/>
    <w:rsid w:val="339E2FF1"/>
    <w:rsid w:val="3408251C"/>
    <w:rsid w:val="35B91949"/>
    <w:rsid w:val="36371201"/>
    <w:rsid w:val="37F6700E"/>
    <w:rsid w:val="38F63B79"/>
    <w:rsid w:val="394239E7"/>
    <w:rsid w:val="39D15A2D"/>
    <w:rsid w:val="39F17152"/>
    <w:rsid w:val="3CE02A33"/>
    <w:rsid w:val="3E695CCE"/>
    <w:rsid w:val="3F010592"/>
    <w:rsid w:val="436470BB"/>
    <w:rsid w:val="43A24BB6"/>
    <w:rsid w:val="43BF32C0"/>
    <w:rsid w:val="44475AEB"/>
    <w:rsid w:val="46C4753F"/>
    <w:rsid w:val="47851C9B"/>
    <w:rsid w:val="4973396B"/>
    <w:rsid w:val="4A26790D"/>
    <w:rsid w:val="4B953586"/>
    <w:rsid w:val="4C2248DB"/>
    <w:rsid w:val="4CD203C5"/>
    <w:rsid w:val="4DD517E1"/>
    <w:rsid w:val="4E524B00"/>
    <w:rsid w:val="4EC60E7A"/>
    <w:rsid w:val="4F121F4B"/>
    <w:rsid w:val="504B35AC"/>
    <w:rsid w:val="50C607AF"/>
    <w:rsid w:val="511E2E64"/>
    <w:rsid w:val="5215792E"/>
    <w:rsid w:val="53A71AA4"/>
    <w:rsid w:val="53C102AD"/>
    <w:rsid w:val="544003A0"/>
    <w:rsid w:val="54AD7541"/>
    <w:rsid w:val="55772F91"/>
    <w:rsid w:val="55F948BF"/>
    <w:rsid w:val="572031CA"/>
    <w:rsid w:val="582A448F"/>
    <w:rsid w:val="5A757EB7"/>
    <w:rsid w:val="5A8C0426"/>
    <w:rsid w:val="5AFD011F"/>
    <w:rsid w:val="5B625E4F"/>
    <w:rsid w:val="5BA13C14"/>
    <w:rsid w:val="5E406E33"/>
    <w:rsid w:val="606127BE"/>
    <w:rsid w:val="60F8277D"/>
    <w:rsid w:val="613D72A2"/>
    <w:rsid w:val="62D74E31"/>
    <w:rsid w:val="63667F34"/>
    <w:rsid w:val="637C475E"/>
    <w:rsid w:val="63B3231D"/>
    <w:rsid w:val="65032F30"/>
    <w:rsid w:val="653C1E16"/>
    <w:rsid w:val="66A3180C"/>
    <w:rsid w:val="66C04DA9"/>
    <w:rsid w:val="68D0752C"/>
    <w:rsid w:val="694F5643"/>
    <w:rsid w:val="695A5CB9"/>
    <w:rsid w:val="69AA3C62"/>
    <w:rsid w:val="69E84DDA"/>
    <w:rsid w:val="6A204095"/>
    <w:rsid w:val="6A2527EB"/>
    <w:rsid w:val="6B3B25F4"/>
    <w:rsid w:val="6C7E37DA"/>
    <w:rsid w:val="6D48195F"/>
    <w:rsid w:val="6DB52D02"/>
    <w:rsid w:val="6E371359"/>
    <w:rsid w:val="6EA700E7"/>
    <w:rsid w:val="6FD52085"/>
    <w:rsid w:val="702D6ED1"/>
    <w:rsid w:val="71C735E0"/>
    <w:rsid w:val="737B3EEF"/>
    <w:rsid w:val="745C5249"/>
    <w:rsid w:val="749B6FA3"/>
    <w:rsid w:val="75713358"/>
    <w:rsid w:val="75D44087"/>
    <w:rsid w:val="76AE5BE9"/>
    <w:rsid w:val="778F7BFD"/>
    <w:rsid w:val="77FD06C2"/>
    <w:rsid w:val="7A47684A"/>
    <w:rsid w:val="7B207C5B"/>
    <w:rsid w:val="7B932B92"/>
    <w:rsid w:val="7C046C08"/>
    <w:rsid w:val="7C487A3D"/>
    <w:rsid w:val="7D8D631A"/>
    <w:rsid w:val="7E7444B5"/>
    <w:rsid w:val="7E7C1E3F"/>
    <w:rsid w:val="7EBD02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
    <w:pPr>
      <w:keepNext/>
      <w:keepLines/>
      <w:spacing w:line="413" w:lineRule="auto"/>
      <w:outlineLvl w:val="2"/>
    </w:pPr>
    <w:rPr>
      <w:b/>
      <w:bCs/>
      <w:sz w:val="32"/>
      <w:szCs w:val="32"/>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Other|1"/>
    <w:basedOn w:val="1"/>
    <w:qFormat/>
    <w:uiPriority w:val="0"/>
    <w:pPr>
      <w:jc w:val="center"/>
    </w:pPr>
    <w:rPr>
      <w:rFonts w:ascii="宋体" w:hAnsi="宋体" w:eastAsia="宋体" w:cs="宋体"/>
      <w:kern w:val="0"/>
      <w:sz w:val="20"/>
      <w:szCs w:val="20"/>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467</Words>
  <Characters>2667</Characters>
  <Lines>22</Lines>
  <Paragraphs>6</Paragraphs>
  <TotalTime>55</TotalTime>
  <ScaleCrop>false</ScaleCrop>
  <LinksUpToDate>false</LinksUpToDate>
  <CharactersWithSpaces>3128</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2020-04-27T07:08:00Z</dcterms:created>
  <dc:creator>Administrator</dc:creator>
  <cp:lastModifiedBy>好多肉丶</cp:lastModifiedBy>
  <cp:lastPrinted>2020-06-16T08:23:00Z</cp:lastPrinted>
  <dcterms:modified xsi:type="dcterms:W3CDTF">2020-06-19T02:38:24Z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